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ATAS/1458/2007 vom 18. Dezember 2007</w:t>
      </w:r>
    </w:p>
    <w:p>
      <w:r>
        <w:t>GE Cour de justice, 2007-12-18, FR</w:t>
      </w:r>
    </w:p>
    <w:p>
      <w:r>
        <w:rPr>
          <w:b/>
        </w:rPr>
        <w:t xml:space="preserve">Quelle: </w:t>
      </w:r>
      <w:r>
        <w:t>https://mcp.opencaselaw.ch/entscheid/ge_gerichte_ATAS_1458_2007</w:t>
      </w:r>
    </w:p>
    <w:p>
      <w:r>
        <w:t>FR: GE_GERICHTE ATAS/1458/2007 du 18 décembre 2007</w:t>
      </w:r>
    </w:p>
    <w:p>
      <w:r>
        <w:t>IT: GE_GERICHTE ATAS/1458/2007 del 18 dicembre 2007</w:t>
      </w:r>
    </w:p>
    <w:p>
      <w:pPr>
        <w:pStyle w:val="Heading2"/>
      </w:pPr>
      <w:r>
        <w:t>Erwägungen</w:t>
      </w:r>
    </w:p>
    <w:p>
      <w:r>
        <w:rPr>
          <w:b/>
        </w:rPr>
        <w:t>E. 18</w:t>
      </w:r>
    </w:p>
    <w:p>
      <w:r>
        <w:t>Par pli des 6 et 28 novembre 2007, le Tribunal de céans a informé les parties que, dans la mesure où elles avaient déjà fait valoir leurs arguments au fond et où le dossier complet avait été produit, la cause était gardée à juger.</w:t>
      </w:r>
    </w:p>
    <w:p>
      <w:r>
        <w:t>EN DROIT 1. Les questions de la compétence du Tribunal de céans, du droit applicable et de la recevabilité du recours (forme, délai et qualité pour recourir) ont été tranchées par l'arrêt incident du 13 septembre 2007, aujourd'hui définitif et exécutoire, de sorte qu'il n'est pas nécessaire d'y revenir. 2. Le litige porte sur l'évaluation de l'invalidité de l'assuré décédé. Dans ce contexte, il s'agira d'examiner si l'art. 48 al. 2 LAI et la méthode extraordinaire d'évaluation de l'invalidité ont été appliqués à bon droit et correctement par l'intimé et s'il se justifiait de mettre un terme à la rente en mai 2003, comme l'a fait l'OCAI. 3. A titre préalable, il sied de rappeler qu'aux termes de l'art. 8 al. 1 LPGA, est réputée invalidité l’incapacité de gain totale ou partielle qui est présumée permanente ou de longue durée. Une 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w:t>
      </w:r>
    </w:p>
    <w:p>
      <w:r>
        <w:t>A/643/2007 - 8/14 -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Enfin,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4. Sur le plan de l'établissement des faits,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De manière générale, dans l'examen de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w:t>
      </w:r>
    </w:p>
    <w:p>
      <w:r>
        <w:t>A/643/2007 - 9/14 -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plus particulièrement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5. Dans le cas particulier, il n'est pas contesté que l'assuré présentait une atteinte invalidante à sa santé. Tous les médecins consultés estiment qu'il aurait pu poursuivre son activité de garagiste indépendant, laquelle était adaptée à ses limitations fonctionnelles, vu la spécialisation qui était la sienne (recherches de pannes essentiellement). En particulier, les expertises du Dr A__________ (qui retient une pleine capacité de travail dans l'activité de garagiste-électronicien dès octobre 2002) et du Dr B__________ (qui estime qu'une reprise de l'activité, qui n'était pas celle de garagiste au sens classique du terme, était exigible dès juin 2003) remplissent tous les critères jurisprudentiels en matière de valeur probante. Il sied de noter que même le médecin traitant relève que l'assuré entendait orienter différemment son activité au sein de son garage. 6. Cela étant, selon l'art. 29 al. 1 let. b LAI, le droit à la rente au sens de l'art. 28 LAI prend naissance au plus tôt à la date à laquelle l'assuré a présenté, en moyenne, une incapacité de travail de 40 % au moins pendant une année sans interruption notable (art. 6 LPGA). Cependant,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(art. 48 al. 2 LAI). 7. En l'espèce, il n'est pas contesté que l'assuré a présenté une incapacité de travail de 67 % en moyenne durant une année à compter de l'accident du 30 novembre 2001, de sorte que le droit à la rente aurait pu prendre naissance en novembre 2002. Cependant, la demande de prestations a été déposée le 8 février 2005, soit largement plus de douze mois après la survenance de l'incapacité de travail (art. 29 al. 1 let. b LAI), de sorte que la demande de prestations se révèle tardive au sens de</w:t>
      </w:r>
    </w:p>
    <w:p>
      <w:r>
        <w:t>A/643/2007 - 10/14 - l'art. 48 al. 2 LAI. Par ailleurs, aucun élément ne permet de considérer que l'assuré n'aurait pas pu connaître les faits donnant droit aux prestations de l'assurance- invalidité, puisqu'il a fait valoir ses prétentions envers les autres assurances. Ainsi, le début du droit à une éventuelle rente d'invalidité, partant le moment où il convient de procéder à la comparaison des revenus (ATF 129 V 223 consid. 4.1, 128 V 174; ATF du 14 juillet 2006, I 201/06, consid. 5.1), doit être fixé au mois de février 2004. Dès lors, c'est à tort que l'OCAI a examiné la capacité de gain en novembre 2002, soit une année après le début de l'incapacité de travail, et constaté que l'assuré avait droit, dès cette date, à un trois-quarts de rente (à tort d'ailleurs, vu les dispositions légales en vigueur en 2002), correspondant au taux moyen de son incapacité de travail durant l'année précédente. C'est également à tort que l'intimé a examiné la question de l'amélioration de la capacité de gain en mai 2003 et constaté que la rente devait être supprimée dès cette date. En définitive, l'OCAI n'aurait pas dû rendre une décision comprenant l'octroi d'une rente avec effet rétroactif et, en même temps, de suppression de rente (ce qui impliquerait l'application des art. 17 LPGA et 88a al. 1 RAI), mais se borner à examiner la situation au moment du début du droit à une éventuelle rente. 8. Il convient donc de déterminer le taux d'invalidité de l'assuré à partir de février 2004.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104 V 136 consid. 2a et 2b; cf. ATF 130 V 348 consid. 3.4).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w:t>
      </w:r>
    </w:p>
    <w:p>
      <w:r>
        <w:t>A/643/2007 - 11/14 -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du 20 avril 2007, I 288/06, consid. 3.2.4; ATF 128 V 29 consid. 1 p. 30, 104 V 135 consid. 2 p. 136; arrêts I 83/97 du 16 octobre 1997 et I 432/97 du 30 mars 1998, publiés in: VSI 1998 p. 122 consid. 1a et 257 consid. 2b). Cette méthode est souvent utilisée pour les indépendants, en particulier lorsque les recettes réalisées avant l’apparition de l’invalidité étaient sujettes à des fluctuations considérables par exemple pour des raisons conjoncturelles (cf. VSI 1998, p. 124, consid. 2c).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 Selon la pratique administrative, consacrée dans les chiffres 3112ss de la circulaire de l'OFAS concernant l'invalidité et l'impotence (ci-après: CIIAI), il convient d'abord d'établir quelles sont les activités que la personne assurée pourrait exercer avec et sans atteinte à la santé, et dans quel laps de temps elle pourrait les accomplir. Il y a également toujours lieu d'examiner dans quelle mesure il lui serait possible de réduire sa perte de gain, en substituant à certaines tâches qu'elle accomplissait auparavant d'autres tâches, mieux adaptées au handicap dont elle souffre. Ensuite, il s'agira de pondérer les activités en appliquant à chaque activité le salaire de référence usuel dans la branche. On peut ainsi déterminer le revenu d'invalide et effectuer une comparaison des revenus.</w:t>
      </w:r>
    </w:p>
    <w:p>
      <w:r>
        <w:t>A/643/2007 - 12/14 - Il est possible de se fonder sur les statistiques, soit l'Enquête suisse sur les salaires (ci-après: ESS), en particulier quand il s'agit de fixer le salaire d'une profession qui comporte plusieurs activités (cf. ATF 128 V p. 33).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(ATFA non publié du 15 avril 2003, I 1/03, consid. 5.2). 9. En l'espèce, l'incapacité de travail de l'assuré est intervenue trois ans après la création de l'entreprise individuelle. Il est notoire qu'une entreprise ne réalise pas les mêmes revenus au début de son activité, de sorte qu'il n'est pas possible de se fonder sur les bénéfices réalisés entre 1998 et 2001 pour évaluer le revenu sans invalidité. Par ailleurs, contrairement à ce que prétend la recourante, il ne se justifie pas de se référer au chiffre d'affaires, qui ne tient pas compte des charges. Enfin, l'assuré, par l'intermédiaire de son conseil, reconnaissait que les bilans et comptes de pertes et profits déposés présentaient des lacunes, d'une part, et qu'il n'était pas en mesure de produire les documents comptables pour la période postérieure à 2003, d'autre part. En définitive, c'est à bon droit que l'OCAI a appliqué la méthode extraordinaire et s'est référé à l'ESS 2004. Etant donné que la recourante ne conteste pas le montant des divers salaires statistiques retenus par l'intimé pour évaluer les revenus sans invalidité et avec invalidité, il n'y a pas lieu de réexaminer l'évaluation faite par l'intimé à ce sujet, d'autant plus que ces chiffres ne sont pas déterminants dans le cas d'espèce pour calculer le taux d'invalidité, puisque les revenus sans invalidité et avec invalidité ont été établis sur la base des mêmes salaires statistiques et des mêmes niveaux de qualification. Par ailleurs, aucun critère justifiant une réduction du salaire statistique n'est réalisé en l'espèce. Cela étant, la pondération exigible des activités avec handicap, l'estimation des empêchements subis par l'assuré dans sa profession et l'application des salaires selon l'ESS 2004, telles qu'elles ont été effectuées par l'OCAI dans le rapport du</w:t>
      </w:r>
    </w:p>
    <w:p>
      <w:r>
        <w:rPr>
          <w:b/>
        </w:rPr>
        <w:t>E. 20</w:t>
      </w:r>
    </w:p>
    <w:p>
      <w:r>
        <w:t>juillet 2006, ne sauraient être critiquées. Il est rappelé que la comparaison des champs d'activité (direction, mécanique, détection des pannes) a été effectuée sur la base d'une visite de l'entreprise et d'un entretien du 18 juillet 2006 de l'enquêtrice de l'OCAI avec l'assuré. En définitive, le revenu hypothétique sans invalidité (73'279 fr.), la capacité de travail globale dans l'activité adaptée de garagiste indépendant (69 %) et le revenu d'invalide (51'109 fr.) ont été correctement fixés par l'intimé. Le taux d'invalidité est ainsi de 31 % et ne donne pas droit à une rente. Il sied de noter que même en réduisant l'activité de direction, comme le préconise la recourante, ce taux resterait inférieur à 40 %. En effet, avec une pondération sans handicap de 20 % de l'activité de direction, il serait de 34 % (cf. note du service d'enquêtes économiques de l'OCAI du 28 mars 2007).</w:t>
      </w:r>
    </w:p>
    <w:p>
      <w:r>
        <w:t>A/643/2007 - 13/14 - 10. Dans la mesure où c'est à tort que l'OCAI a constaté que l'assuré avait droit à un trois quarts de rente pour la période de novembre 2002 à mai 2003, la question se pose de savoir s'il y a lieu de procéder à une reformatio in pejus au sens de l'art. 61 let. d LPGA. Toutefois, il n'y a pas lieu de faire usage de cette faculté : aucun intérêt important ne justifie une correction de la décision attaquée, car la situation de la recourante ne s'aggraverait pas avec la constatation du fait que la rente n'était pas due pour la période de novembre 2002 à mai 2003. En effet, l'OCAI a décidé que la rente pour cette période ne pouvait de toute façon pas être versée, vu la tardiveté de la demande (cf. DTA 1995 no 23 p. 138 et 139 consid. 3; RCC 1988 p. 650 consid. 2b). 11. Au vu de ce qui précède, le recours sera rejeté. Vu l'issue du litige, un émolument de 500 fr. sera mis à charge de la recourante, en conformité de l'art. 69 al. 1bis LAI.</w:t>
      </w:r>
    </w:p>
    <w:p>
      <w:r>
        <w:t>A/643/2007 - 14/14 -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