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ATAS/1450/2012 vom 29. November 2012</w:t>
      </w:r>
    </w:p>
    <w:p>
      <w:r>
        <w:t>GE Cour de justice, 2012-11-29, FR</w:t>
      </w:r>
    </w:p>
    <w:p>
      <w:r>
        <w:rPr>
          <w:b/>
        </w:rPr>
        <w:t xml:space="preserve">Quelle: </w:t>
      </w:r>
      <w:r>
        <w:t>https://mcp.opencaselaw.ch/entscheid/ge_gerichte_ATAS_1450_2012</w:t>
      </w:r>
    </w:p>
    <w:p>
      <w:r>
        <w:t>FR: GE_GERICHTE ATAS/1450/2012 du 29 novembre 2012</w:t>
      </w:r>
    </w:p>
    <w:p>
      <w:r>
        <w:t>IT: GE_GERICHTE ATAS/1450/2012 del 29 novembre 2012</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A/3009/2009 - 17/28 -</w:t>
      </w:r>
    </w:p>
    <w:p>
      <w:r>
        <w:t>Depuis le 1er janvier 2011, cette compétence revient à la Chambre des assurances sociales de la Cour de justice, laquelle reprend la procédure pendante devant le Tribunal cantonal des assurances sociales (art. 143 al. 6 de la LOJ du 9 octobre 2009).</w:t>
      </w:r>
    </w:p>
    <w:p>
      <w:r>
        <w:t>La compétence du tribunal de céans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rPr>
          <w:b/>
        </w:rPr>
        <w:t>E. 4</w:t>
      </w:r>
    </w:p>
    <w:p>
      <w:r>
        <w:t>En l'espèce, la décision litigieuse, du 18 juin 2009,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5</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6</w:t>
      </w:r>
    </w:p>
    <w:p>
      <w:r>
        <w:t>Est litigieuse, en l’espèce, la question de savoir si les troubles présentés par la recourante, aussi bien somatiques que psychiatriques, constituent une invalidité au sens de l’AI engendrant une incapacité de gain donnant droit à une rente.</w:t>
      </w:r>
    </w:p>
    <w:p>
      <w:r>
        <w:rPr>
          <w:b/>
        </w:rPr>
        <w:t>E. 7</w:t>
      </w:r>
    </w:p>
    <w:p>
      <w:r>
        <w:t>Aux termes de l’art. 8 al. 1er LPGA, est réputée invalidité l’incapacité de gain totale ou partielle qui est présumée permanente ou de longue durée. Selon l’art. 4</w:t>
      </w:r>
    </w:p>
    <w:p>
      <w:r>
        <w:t>A/3009/2009 - 18/28 -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8</w:t>
      </w:r>
    </w:p>
    <w:p>
      <w:r>
        <w:t>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rPr>
          <w:b/>
        </w:rPr>
        <w:t>E. 9</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10</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w:t>
      </w:r>
    </w:p>
    <w:p>
      <w:r>
        <w:t>A/3009/2009 - 19/28 -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w:t>
      </w:r>
    </w:p>
    <w:p>
      <w:r>
        <w:rPr>
          <w:b/>
        </w:rPr>
        <w:t>E. 11</w:t>
      </w:r>
    </w:p>
    <w:p>
      <w:r>
        <w:t>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12</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w:t>
      </w:r>
    </w:p>
    <w:p>
      <w:r>
        <w:t>A/3009/2009 - 20/28 - 4ème révision de la LAI (ATF 130 V 348 consid. 3.4; ATFA non publiés du 17 mai 2005, I 7/05, consid. 2 et du 6 septembre 2004, I 249/04, consid. 4).</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14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rPr>
          <w:b/>
        </w:rPr>
        <w:t>E. 15</w:t>
      </w:r>
    </w:p>
    <w:p>
      <w:r>
        <w:t>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w:t>
      </w:r>
    </w:p>
    <w:p>
      <w:r>
        <w:t>A/3009/2009 - 21/28 -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w:t>
      </w:r>
    </w:p>
    <w:p>
      <w:r>
        <w:rPr>
          <w:b/>
        </w:rPr>
        <w:t>E. 16</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17</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18</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t>A/3009/2009 - 22/28 -</w:t>
      </w:r>
    </w:p>
    <w:p>
      <w:r>
        <w:rPr>
          <w:b/>
        </w:rPr>
        <w:t>E. 19</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20</w:t>
      </w:r>
    </w:p>
    <w:p>
      <w:r>
        <w:t>En l'occurrence, se trouvent notamment au dossier un rapport d’expertise du Dr L__________, des rapports du Dr A__________ et du Dr F__________, un rapport d’expertise des Drs I__________ et H__________ ainsi que des rapports du SMR.</w:t>
      </w:r>
    </w:p>
    <w:p>
      <w:r>
        <w:rPr>
          <w:b/>
        </w:rPr>
        <w:t>E. 21</w:t>
      </w:r>
    </w:p>
    <w:p>
      <w:r>
        <w:t>Concluant, dans son rapport d’expertise du 6 mars 2009, à l’absence de limitation psychique sur la capacité de travail, le Dr L__________ précise qu’au plan psychique et mental, il n’y a pas de limitations qualitatives et quantitatives en relation avec le trouble anxieux et dépressif mixte et le syndrome douloureux somatoforme persistant et relève qu’il n’y a donc pas d’incapacité de travail sur le plan psychique.</w:t>
      </w:r>
    </w:p>
    <w:p>
      <w:r>
        <w:rPr>
          <w:b/>
        </w:rPr>
        <w:t>E. 22</w:t>
      </w:r>
    </w:p>
    <w:p>
      <w:r>
        <w:t>Dans un rapport du 23 octobre 2009, le Dr F__________ relève, en particulier, que toutes les symptomatologies décrites chez cette patiente sont toujours présentes et fluctuent d’une intensité modérée à sévère, qu’elle n’a pas montré une évolution favorable et qu’elle est incapable de travailler.</w:t>
      </w:r>
    </w:p>
    <w:p>
      <w:r>
        <w:t>Dans un rapport du 4 janvier 2010, ce même médecin mentionne que les diagnostics sont inchangés, que l’état psychique de la patiente, malgré qu’il soit toujours fluctuant d’une période à l’autre, a montré une aggravation depuis quelques mois avec des tensions augmentées associées à des manifestations</w:t>
      </w:r>
    </w:p>
    <w:p>
      <w:r>
        <w:t>A/3009/2009 - 23/28 - physiques et que la capacité de travail de la recourante est nulle. Lors de son audition par la Cour de céans, le Dr F__________ indique en particulier qu’il diagnostiqué un épisode dépressif sévère sans symptômes psychotiques et un syndrome douloureux somatoforme persistant. Il précise qu’il y avait également une anxiété généralisée et que la recourante présentait un état dépressif modéré à sévère assez fluctuant d'une période à l'autre. Il ne peut pas dire qu'il y ait des périodes de rémission. La recourante présente toujours une symptomatologie anxiodépressive et il estime que même dans des périodes où la dépression est d'intensité modérée, elle n'est pas capable de travailler, même partiellement. Il estime pour sa part que la recourante n'est pas en mesure de travailler que ce soit dans son activité habituelle ou dans une activité adaptée. Ce médecin précise qu’ainsi, sur le plan psychiatrique, l’évolution de la recourante est défavorable et son pronostic n’est pas bon. Sa capacité de travail est donc nulle.</w:t>
      </w:r>
    </w:p>
    <w:p>
      <w:r>
        <w:rPr>
          <w:b/>
        </w:rPr>
        <w:t>E. 23</w:t>
      </w:r>
    </w:p>
    <w:p>
      <w:r>
        <w:t>Le Dr A__________ qui suit la recourante depuis la fin de l’année 1993, relève qu’elle souffre notamment de lombalgies chroniques et d'un trouble somatoforme douloureux qui est en lien avec la dépression. Au niveau de sa capacité de travail, il estime que compte tenu du vieillissement et des années qui passent, l'état de santé de la recourante ne s'est non seulement pas amélioré mais s'est au contraire dégradé et qu’elle n'a et n'a jamais eu une quelconque capacité de travail.</w:t>
      </w:r>
    </w:p>
    <w:p>
      <w:r>
        <w:rPr>
          <w:b/>
        </w:rPr>
        <w:t>E. 24</w:t>
      </w:r>
    </w:p>
    <w:p>
      <w:r>
        <w:t>Dans leur rapport du 18 novembre 2011, les Drs I__________ et H__________ ont posé les diagnostics, ayant une répercussion sur la capacité de travail, de fibromyalgie, cervico-dorso-lombalgies persistantes, périarthropathie scapulo- humérale prédominant à gauche, chronique, céphalées à type de migraine, épisode dépressif sévère sans symptôme psychotique et de personnalité fruste.</w:t>
      </w:r>
    </w:p>
    <w:p>
      <w:r>
        <w:t>Les experts indiquent qu’actuellement, l’état de fonctionnement psychique de la recourante exclut toute activité professionnelle. Ils précisent que si l’aspect physique joue un rôle important, il faut tenir compte également de l’effondrement de ses fonctions mentales qui rendent impossible tout apprentissage d’un processus ou de consignes nouvelles dans le monde du travail.</w:t>
      </w:r>
    </w:p>
    <w:p>
      <w:r>
        <w:t>En réponse aux questions, les experts indiquent que les douleurs rachidiennes, ainsi que la pathologie de l’épaule gauche, et les céphalées, représentent des atteintes invalidantes et, sous l’angle psychiatrique, le trouble dépressif associé à une personnalité fruste représente également une atteinte invalidante. Ils précisent que l’état de santé s’est aggravé depuis l’année 2005 et que les limitations sont à mettre en rapport avec la problématique rachidienne et de l’épaule gauche. Toutes les activités impliquant des postures défavorables pour le tronc sont contre-indiquées, de même que les activités impliquant des mouvements répétitifs avec les membres supérieurs et comportant le port de charges et le maintien des bras au-dessus de l’horizontale. Sur le plan mental, les capacités cognitives (mémoire, attention, concentration) sont diminuées. La recourante a de la peine à investir le monde</w:t>
      </w:r>
    </w:p>
    <w:p>
      <w:r>
        <w:t>A/3009/2009 - 24/28 - environnant et à se projeter dans l’avenir. Elle n’est plus en mesure de réaliser un apprentissage même élémentaire de gestes professionnels. Les experts précisent encore qu’il n’y a pas de mesure médicale permettant d’améliorer la capacité de travail. Au sujet de pronostic, les experts indiquent qu’il est complètement défavorable quant à la reprise d’une activité professionnelle quelle qu’elle soit, en raison des atteintes physiques et psychiques.</w:t>
      </w:r>
    </w:p>
    <w:p>
      <w:r>
        <w:rPr>
          <w:b/>
        </w:rPr>
        <w:t>E. 25</w:t>
      </w:r>
    </w:p>
    <w:p>
      <w:r>
        <w:t>En conclusion de son avis médical du 15 janvier 2012, le SMR indique « nous ne pouvons valider cette expertise que sur le plan rhumatologique. » Ensuite, critiquant cette même expertise, le SMR émet un sérieux doute quant à la neutralité et la validité de l’expertise, relève notamment, au sujet de l’intervention du fils cadet de la recourante, que l’absence d’un interprète professionnel permet de douter de la valeur probante de l’expertise. Le SMR estime que le médecin psychiatre sort parfois de sa mission d’expert pour reprendre le rôle de médecin praticien, que le diagnostic n’est pas suffisamment étayé et que l’expertise n’est absolument pas exempte de polémique. Le SMR relève encore que le rapport d’expertise n’est pas exempt de contradiction et conteste le caractère invalidant du trouble somatoforme douloureux.</w:t>
      </w:r>
    </w:p>
    <w:p>
      <w:r>
        <w:rPr>
          <w:b/>
        </w:rPr>
        <w:t>E. 26</w:t>
      </w:r>
    </w:p>
    <w:p>
      <w:r>
        <w:t>Au sujet de l’audition du fils de la recourante par les experts, il y a lieu de considérer que celui-ci, s’exprimant correctement en français un interprète n’étant dès lors pas nécessaire, a pu ainsi fournir des renseignements notamment sur la vie quotidienne de la famille et pouvait permettre aux experts d’appréhender l’environnement familial de la recourante.</w:t>
      </w:r>
    </w:p>
    <w:p>
      <w:r>
        <w:rPr>
          <w:b/>
        </w:rPr>
        <w:t>E. 27</w:t>
      </w:r>
    </w:p>
    <w:p>
      <w:r>
        <w:t>Etant médecin praticien, l’expert peut avoir une appréciation pratique de la situation sans faire preuve de partialité. Le grief d’absence de neutralité n’est guère motivé et ne sera pas retenu.</w:t>
      </w:r>
    </w:p>
    <w:p>
      <w:r>
        <w:rPr>
          <w:b/>
        </w:rPr>
        <w:t>E. 28</w:t>
      </w:r>
    </w:p>
    <w:p>
      <w:r>
        <w:t>Le SMR relève que les experts ont critiqué l’injonction faite de tenir un consilium le même jour que l’examen clinique, jugeant cette recommandation peu pertinente. Il convient de relever que, lors des observations faites en particulier à la suite de la mission d’expertise, le SMR, par l’intermédiaire de l’OAI, indiquait qu’une discussion collégiale était essentielle. La Cour considère que cette discussion a eu lieu puisque les experts précisent qu’ils ont réalisé l’examen clinique le même jour et ont rendu un rapport commun.</w:t>
      </w:r>
    </w:p>
    <w:p>
      <w:r>
        <w:rPr>
          <w:b/>
        </w:rPr>
        <w:t>E. 29</w:t>
      </w:r>
    </w:p>
    <w:p>
      <w:r>
        <w:t>Contrairement à l’avis de l’OAI, la Cour de céans estime que le diagnostic est suffisamment étayé puisqu’il a notamment fait l’objet de commentaire.</w:t>
      </w:r>
    </w:p>
    <w:p>
      <w:r>
        <w:rPr>
          <w:b/>
        </w:rPr>
        <w:t>E. 30</w:t>
      </w:r>
    </w:p>
    <w:p>
      <w:r>
        <w:t>La contradiction relevée par l’OAI au sujet des activités de regarder la télévision et la couture qui, selon le SMR, nécessitent la même attention, l’expert a précisé que la recourante « ne peut regarder la télévision, car elle ne supporte ni les sons, ni les bruits. » La pratique de la couture n’impliquant pas de bruit particulier, il n’y a pas de contradiction à ce sujet et l’observation de la recourante est donc fondée.</w:t>
      </w:r>
    </w:p>
    <w:p>
      <w:r>
        <w:t>A/3009/2009 - 25/28 -</w:t>
      </w:r>
    </w:p>
    <w:p>
      <w:r>
        <w:rPr>
          <w:b/>
        </w:rPr>
        <w:t>E. 31</w:t>
      </w:r>
    </w:p>
    <w:p>
      <w:r>
        <w:t>Contrairement à la remarque de l’OAI selon laquelle les conditions d’octroi initial de la rente en 1995 n’avaient pas été discutées, il convient de relever que, d’une part, la condition, à savoir une fibromyalgie, avait été mentionnée et que, d’autre part, la mission d’expertise ne faisait pas état de cette demande. De plus, la rente de la recourante avait fait l’objet de plusieurs révisions et il convenait, en l’état, d’examiner la situation de l’état de santé de la recourante au moment de la décision litigieuse, conformément à la jurisprudence en la matière.</w:t>
      </w:r>
    </w:p>
    <w:p>
      <w:r>
        <w:rPr>
          <w:b/>
        </w:rPr>
        <w:t>E. 32</w:t>
      </w:r>
    </w:p>
    <w:p>
      <w:r>
        <w:t>Dans son écriture du 14 février 2012, l’OAI rappelle les exigences restrictives des critères jurisprudentiels pour reconnaître le caractère invalidant de la fibromyalgie. Sur le plan rhumatologique, validé par le SMR, l’expertise fait mention notamment de douleurs musculo-squelettiques diffuses et chroniques. En outre, sur le plan psychiatrique, l’expertise pose le diagnostic d’épisode dépressif sévère, état qui est traité depuis de nombreuses années et cristallisé. Enfin le fait que la recourante s’exprime habituellement en langue turque, qu’elle ne sort qu’un peu et que ce sont ses enfants et son mari qui font les courses permet de déduire une perte d’intégration sociale dans les manifestations de la vie. Au sujet des critères d’appréciation de la fibromyalgie, il sied de relever que le Tribunal fédéral a, dans un arrêt du 27 février 2012 (9C_694/2011) indiqué « S’agissant enfin de l’analyse des critères conférant à la fibromyalgie ou au trouble somatoforme douloureux un caractère invalidant, on relèvera qu’il n’est pas absolument nécessaire que les médecins interrogés disent expressément si tel ou tel critère est rempli dans le cas concret mais que ces éléments peuvent être déduits de l’anamnèse, des constatations médicales ou de l’appréciation du cas. » Contrairement aux griefs de l’OAI, la Cour de céans considère que les critères jurisprudentiels de la fibromyalgie sont remplis et conclura, sur ce point, au caractère invalidant de cette affection.</w:t>
      </w:r>
    </w:p>
    <w:p>
      <w:r>
        <w:rPr>
          <w:b/>
        </w:rPr>
        <w:t>E. 33</w:t>
      </w:r>
    </w:p>
    <w:p>
      <w:r>
        <w:t>En conclusion du droit à la rente, il sied, en l’occurrence, de considérer que l’expertise du 18 novembre 2011 a fait l’objet d’une étude circonstanciée comprenant des observations approfondies et des investigations complètes, d’une pleine connaissance du dossier, et les experts ont abouti à des résultats convaincants pour lui attribuer, malgré les doutes émis par l’OAI, pleine valeur probante. En effet, la Cour de céans estime que l’expertise contient une étude approfondie du dossier, une anamnèse médicale complète, la prise en compte des plaintes de la recourante et la description du contexte médicale et l’appréciation de la situation médicale sont claires et les conclusions des experts sont dûment motivées. Dès lors, une nouvelle expertise étant superflue, la Cour se dispensera de l’ordonner.</w:t>
      </w:r>
    </w:p>
    <w:p>
      <w:r>
        <w:t>Eu égard aux considérations qui précèdent et, en particulier, aux conclusions de l’expertise des Drs I__________ et H__________, le recours doit donc être admis en ce sens que la recourante, étant en incapacité totale de travail, a droit à une rente entière.</w:t>
      </w:r>
    </w:p>
    <w:p>
      <w:r>
        <w:t>A/3009/2009 - 26/28 -</w:t>
      </w:r>
    </w:p>
    <w:p>
      <w:r>
        <w:rPr>
          <w:b/>
        </w:rPr>
        <w:t>E. 34</w:t>
      </w:r>
    </w:p>
    <w:p>
      <w:r>
        <w:t>En ce qui concerne, la naissance du droit à une rente d’invalidité, il y a lieu de relever que,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En vertu de l’art. 29 al. 1er LAI dans sa teneur en vigueur dès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35</w:t>
      </w:r>
    </w:p>
    <w:p>
      <w:r>
        <w:t>Le Tribunal fédéral a précisé que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rPr>
          <w:b/>
        </w:rPr>
        <w:t>E. 36</w:t>
      </w:r>
    </w:p>
    <w:p>
      <w:r>
        <w:t>En l’espèce, il convient de relever que, la décision de refus d’entrer en matière de l’OAI du 16 février 2006 n’ayant pas fait l’objet d’un recours et étant donc entrée en force, c’est donc à juste titre que l’OAI a considéré que la lettre du 23 mai 2006, émanant du médecin traitant, constituait une nouvelle demande.</w:t>
      </w:r>
    </w:p>
    <w:p>
      <w:r>
        <w:t>Bien que l’expertise du 18 novembre 2011 répond positivement à la question « est- ce que l’état de santé s’est aggravé depuis l’année 2005 », la Cour de céans retiendra l’avis du Dr F__________ émanant de son courrier du 28 avril 2006 et confirmé lors de son audition du 8 février 2011 pour déterminer la date de la survenance du cas d’assurance. Il sied, en l’occurrence, de rappeler que, dans sa lettre du 28 avril 2006, le Dr. F__________ faisait clairement état d’une aggravation de l’état de santé de la patiente. Confirmant les termes de son courrier du 28 avril 2006, ce médecin précisait encore, lors de son audition, qu’il estimait alors que la recourante avait fait une rechute sur le plan psychiatrique. Compte tenu de cette aggravation, il y a lieu de considérer la survenance du cas d’assurance en avril 2006 et de fixer, compte tenu du délai d’attente en application de l’art. 29 al. 1 let. b aLAI, la date du droit à la rente au 1er mai 2007.</w:t>
      </w:r>
    </w:p>
    <w:p>
      <w:r>
        <w:rPr>
          <w:b/>
        </w:rPr>
        <w:t>E. 37</w:t>
      </w:r>
    </w:p>
    <w:p>
      <w:r>
        <w:t>Eu égard aux considérations qui précèdent et, en particulier, aux conclusions de l’expertise des Drs I__________ et H__________, le recours doit donc être admis</w:t>
      </w:r>
    </w:p>
    <w:p>
      <w:r>
        <w:t>A/3009/2009 - 27/28 - en ce sens que la recourante a droit à une rente entière dès le 1er mai 2007. La décision du 18 juin 2009 doit donc être annulée.</w:t>
      </w:r>
    </w:p>
    <w:p>
      <w:r>
        <w:rPr>
          <w:b/>
        </w:rPr>
        <w:t>E. 38</w:t>
      </w:r>
    </w:p>
    <w:p>
      <w:r>
        <w:t>L’intimé, qui succombe, supportera les frais de justice fixés à 200 fr. et versera une indemnité de dépens de 1'500 fr. à la recourante.</w:t>
      </w:r>
    </w:p>
    <w:p>
      <w:r>
        <w:t>A/3009/2009 - 28/28 -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