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ATAS/144/2015 vom 25. Februar 2015</w:t>
      </w:r>
    </w:p>
    <w:p>
      <w:r>
        <w:t>GE Cour de justice, 2015-02-25, FR</w:t>
      </w:r>
    </w:p>
    <w:p>
      <w:r>
        <w:rPr>
          <w:b/>
        </w:rPr>
        <w:t xml:space="preserve">Quelle: </w:t>
      </w:r>
      <w:r>
        <w:t>https://mcp.opencaselaw.ch/entscheid/ge_gerichte_ATAS_144_2015</w:t>
      </w:r>
    </w:p>
    <w:p>
      <w:r>
        <w:t>FR: GE_GERICHTE ATAS/144/2015 du 25 février 2015</w:t>
      </w:r>
    </w:p>
    <w:p>
      <w:r>
        <w:t>IT: GE_GERICHTE ATAS/144/2015 del 25 febbraio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les recourants peuvent prétendre rétroactivement au mois d’août 2004 à des rentes de vieillesse non plafonnées.</w:t>
      </w:r>
    </w:p>
    <w:p>
      <w:r>
        <w:rPr>
          <w:b/>
        </w:rPr>
        <w:t>E. 4</w:t>
      </w:r>
    </w:p>
    <w:p>
      <w:r>
        <w:t>a. En vertu de l’art. 35 LAVS, la somme des deux rentes de vieillesse pour un couple s’élève au plus à 150 % du montant maximal de la rente de vieillesse si les deux conjoints ont droit à une rente de vieillesse (al. 1 let. a). Aucune réduction des rentes n’est prévue au détriment des époux qui ne vivent plus en ménage commun suite à une décision judiciaire (al. 2). b. En l’occurrence, il n’est pas contesté que les époux ont été autorisés à vivre séparément uniquement par décision du 16 juillet 2014 du Tribunal de district de Zurich. Partant, les conditions légales pour bénéficier du non plafonnement des rentes pour couples ne sont réalisées qu’à partir du mois d’août 2014 (cf. ch. 5517 des directives sur les rentes de l'office fédéral des assurances sociales).</w:t>
      </w:r>
    </w:p>
    <w:p>
      <w:r>
        <w:rPr>
          <w:b/>
        </w:rPr>
        <w:t>E. 5</w:t>
      </w:r>
    </w:p>
    <w:p>
      <w:r>
        <w:t>Les recourants se prévalent cependant implicitement d’une violation de l’obligation de les renseigner, estimant que l’intimée aurait dû les rendre attentifs au fait qu’il fallait obtenir une décision judiciaire les autorisant à vivre séparément afin de bénéficier de deux rentes non plafonnées. a. Le 1er janvier 2003 est entrée en vigueur la LPGA, laquelle est également applicable à la LAVS (art. 1 al. 1 LAVS). L’art. 27 LPGA prévoit que, dans les limites de leur domaine de compétence, les assureurs et les organes d’exécution des</w:t>
      </w:r>
    </w:p>
    <w:p>
      <w:r>
        <w:t>A/2984/2014 - 5/8 -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ATF non publié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w:t>
      </w:r>
    </w:p>
    <w:p>
      <w:r>
        <w:t>A/2984/2014 - 6/8 - b. En l’occurrence, le recourant a formé sa demande de rente de vieillesse le 9 février 2004, soit après l’entrée en vigueur de la LPGA, de sorte que l’art. 27 de cette loi est applicable. Dans sa demande, il a clairement indiqué qu’il était séparé de son épouse depuis le 1er octobre 2001. Il ressort par ailleurs de sa requête que les deux époux vivent non seulement à deux adresses différentes, mais de surcroît à deux endroits très éloignés l’un de l’autre, dès lors que le recourant est domicilié à Zurich et la recourante à Meyrin dans le canton de Genève. L’intimée conteste néanmoins avoir violé son devoir d’information, en mettant en exergue le fait qu’elle avait attiré l’attention des recourants sur l’obligation de signaler toute modification de leur situation personnelle ou familiale pouvant entraîner la suppression, la diminution ou l’augmentation de la prestation allouée. Il est vrai que les décisions adressées aux recourants le 22 juillet 2004 mentionnent qu’il s’agit d’une rente réduite par plafonnement et que les assurés sont tenus de signaler à la caisse tout changement dans leur état civil. Cependant, la séparation, même entérinée par un juge, ne constitue en principe pas une modification de l’état civil. Ainsi ne font l’objet de l’enregistrement dans le registre de l’état civil que la préparation du mariage, le mariage et la dissolution du mariage, mais non pas la séparation, selon l’art. 7 al. 2 let. h, i et j de l’ordonnance sur l'état civil du 28 avril 2004 (OEC - RS 211.112.2). Cela correspond aussi à la définition de l’état civil communément admise, de sorte que les recourants ne devaient pas comprendre que le fait d’être séparés constituait un état civil différent de celui de mariés. De surcroît, depuis la demande du recourant en 2004, ni son « état civil » ni sa situation personnelle et familiale n’avaient changé, puisqu’il était séparé de son épouse déjà depuis 2001, comme il l'a indiqué dans cette demande. En ce que l’intimée fait valoir que le recourant n’avait pas joint à sa demande de rente en 2004 un justificatif relatif à la séparation de son épouse, il sied de relever qu'en vertu de l’art. 43 al. 1 LPGA, l’assureur prend d’office les mesures d’instruction nécessaires et recueille les renseignements dont il a besoin. L'intimée aurait donc dû réclamer la décision judiciaire relative à la séparation des époux en vertu de la maxime d'office, tout comme elle n'aurait certainement pas manqué de réclamer au recourant les certificats d’assurance de l’AVS-AI et les pièces d’identité, s’il avait omis de les joindre à sa demande de rente. Outre l'instruction d'office, le devoir de conseil impliquait par ailleurs que l’intimée rendît les recourants attentifs qu’à défaut d’une décision judiciaire, ils ne pourraient bénéficier que d’une rente plafonnée. Ayant omis de le faire, l’intimée a violé l’art. 27 al. 2 LPGA. Il sied en outre de constater que l’intimée était intervenue en l’occurrence dans une situation concrète à l’égard des recourants, qu'elle était sans aucun doute compétente pour l’octroi d’une rente et que les recourants n’ont pas pu se rendre compte immédiatement qu’ils pourraient prétendre à une rente non plafonnée si leur</w:t>
      </w:r>
    </w:p>
    <w:p>
      <w:r>
        <w:t>A/2984/2014 - 7/8 - séparation faisait l'objet d'une décision judiciaire. Enfin, il doit être admis que s’ils avaient su que la séparation de leur couple devait être entérinée par le juge, ils n’auraient pas manqué de faire cette démarche, comme ils l'ont du reste entreprise immédiatement après en avoir été informés. Dans ces conditions, il sied d'admettre que l’intimée est obligée de consentir aux recourants rétroactivement des rentes non plafonnées, même si la loi prévoit à l’art. 35 al. 2 LAVS que ce droit est subordonné à la séparation des époux suite à une décision judiciaire.</w:t>
      </w:r>
    </w:p>
    <w:p>
      <w:r>
        <w:rPr>
          <w:b/>
        </w:rPr>
        <w:t>E. 6</w:t>
      </w:r>
    </w:p>
    <w:p>
      <w:r>
        <w:t>En vertu de l’art. 24 al. 1 LPGA, le droit aux prestations s’éteint cinq ans après la fin du mois pour lequel la prestation était due. Cela étant, il convient de constater en l’espèce que le droit aux prestations des recourants né avant août 2009 est prescrit, dès lors que les époux n'ont demandé des rentes déplafonnées que le 19 juillet 2014. Les rentes non plafonnées ne sont par conséquent dues qu'à partir d’août 2009.</w:t>
      </w:r>
    </w:p>
    <w:p>
      <w:r>
        <w:rPr>
          <w:b/>
        </w:rPr>
        <w:t>E. 7</w:t>
      </w:r>
    </w:p>
    <w:p>
      <w:r>
        <w:t>Le recours sera ainsi partiellement admis et la décision du 4 septembre 2004 réformée dans le sens que les recourants sont mis au bénéfice de rentes de vieillesse non plafonnées dès août 2009. La cause sera par ailleurs renvoyée à l’intimée pour calculer les rentes non plafonnées dès cette date et nouvelle décision sur ce point.</w:t>
      </w:r>
    </w:p>
    <w:p>
      <w:r>
        <w:rPr>
          <w:b/>
        </w:rPr>
        <w:t>E. 8</w:t>
      </w:r>
    </w:p>
    <w:p>
      <w:r>
        <w:t>La procédure est gratuite.</w:t>
      </w:r>
    </w:p>
    <w:p>
      <w:r>
        <w:t>A/2984/2014 - 8/8 -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