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ATAS/144/2008 vom 5. Februar 2008</w:t>
      </w:r>
    </w:p>
    <w:p>
      <w:r>
        <w:t>GE Cour de justice, 2008-02-05, FR</w:t>
      </w:r>
    </w:p>
    <w:p>
      <w:r>
        <w:rPr>
          <w:b/>
        </w:rPr>
        <w:t xml:space="preserve">Quelle: </w:t>
      </w:r>
      <w:r>
        <w:t>https://mcp.opencaselaw.ch/entscheid/ge_gerichte_ATAS_144_2008</w:t>
      </w:r>
    </w:p>
    <w:p>
      <w:r>
        <w:t>FR: GE_GERICHTE ATAS/144/2008 du 5 février 2008</w:t>
      </w:r>
    </w:p>
    <w:p>
      <w:r>
        <w:t>IT: GE_GERICHTE ATAS/144/2008 del 5 febbraio 2008</w:t>
      </w:r>
    </w:p>
    <w:p>
      <w:pPr>
        <w:pStyle w:val="Heading2"/>
      </w:pPr>
      <w:r>
        <w:t>Erwägungen</w:t>
      </w:r>
    </w:p>
    <w:p>
      <w:r>
        <w:rPr>
          <w:b/>
        </w:rPr>
        <w:t>E. 1</w:t>
      </w:r>
    </w:p>
    <w:p>
      <w:r>
        <w:t>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Ces principes de droit intertemporel commandent ainsi l'examen du bien-fondé de la décision sur opposition du 27 septembre 2006 à la lumière des anciennes dispositions de la LAA pour la période s'étendant jusqu'au 31 décembre 2002 et, le cas échéant, au regard des nouvelles dispositions de la LPGA pour la période postérieure (ATF 130 V 332 consid. 2.2 et 2.3). Enfin,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légaux, le recours est recevable à la forme (art. 106 LAA dans sa teneur en vigueur depuis le 1er janvier 2003, en dérogation à l’art. 60 LPGA).</w:t>
      </w:r>
    </w:p>
    <w:p>
      <w:r>
        <w:t>A/4882/2006 - 12/17 -</w:t>
      </w:r>
    </w:p>
    <w:p>
      <w:r>
        <w:rPr>
          <w:b/>
        </w:rPr>
        <w:t>E. 4</w:t>
      </w:r>
    </w:p>
    <w:p>
      <w:r>
        <w:t>Le litige porte sur le droit du recourant à des prestations de l'assurance-accidents au-delà du 9 mars 2003, en particulier au droit à une rente d’invalidité.</w:t>
      </w:r>
    </w:p>
    <w:p>
      <w:r>
        <w:rPr>
          <w:b/>
        </w:rPr>
        <w:t>E. 5</w:t>
      </w:r>
    </w:p>
    <w:p>
      <w:r>
        <w:t>a) Selon l’art. 6 al. 1 LAA, l’assurance-accidents ne répond des atteintes à la santé que lorsqu’elles sont en relation de causalité non seulement naturelle, mais encore adéquate avec l’événement assuré (ATF 119 V 335 consid. 1). Selon la jurisprudence du Tribunal fédéral des assurances (ci-après le TFA),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En revanche,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En revanche,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 115 V 405 consid. 4a).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w:t>
      </w:r>
    </w:p>
    <w:p>
      <w:r>
        <w:t>A/4882/2006 - 13/17 - domaine des assurances sociales (ATF 126 V 360 consid. 5b ; 125 V 195 consid. 2; RAMA 2000 no U 363 p. 46 ; ATFA non publié U 220/02 du 6 août 2003 consid. 2.3).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Il sied tout d’abord de relever que le recourant a quitté son poste de travail le 30 juin 2005, en raison d’un licenciement économique. Il a ensuite bénéficié d’un plan social. Cependant, la question de savoir si le poste de travail chez son ancien employeur était adapté reste d’actualité pour savoir s’il convient de procéder à une comparaison des revenus avant et après invalidité. Les limitations fonctionnelles que présente le recourant ne sont pas contestées. Il ne peut effectuer de travail en hauteur ni porter de charges moyennes à lourdes avec le membre supérieur gauche. Reste dès lors à déterminer si son poste chez X__________ était adapté ou non à ces limitations. Des témoignages entendus, l'on peut tenir pour établi que le travail du recourant ne consistait en travail administratif qu'à raison de 20%. Le temps restant était passé en conduite (environ 1h à 1h30 par jour) et en travail technique, avec activité physique. En l’occurrence, s’il est vrai que le recourant pouvait porter son outillage et son ordinateur portable avec son membre supérieur droit valide, l’on voit mal qu’il procède aux autres opérations, telles le déchargement des caissons et des châssis avec un seul bras, même avec l'utilisation d'un transpalette ou d’un diable. Quant à l’aide de collègues, X__________ a elle-même reconnu que, comme l'entreprise était en manque de personnel, il était plus difficile d'obtenir une aide immédiate. Même si selon les dires de l’employeur, celui-ci ne refusait pas une telle aide, l’on peut imaginer que dans la pratique, le recourant ne pouvait nullement être accompagné d’un collègue pour décharger les caissons et le matériel, ou se faire aider lors de la pose des modems en hauteur. En effet, il ressort de la description du poste de travail du 14 février 2003 et des photos produites par l’assuré que les modems et les châssis étaient fixés sur des supports à différentes hauteurs pouvant aller du sol au plafond. Un châssis commençait à 50 cm du sol et pouvait aller</w:t>
      </w:r>
    </w:p>
    <w:p>
      <w:r>
        <w:t>A/4882/2006 - 14/17 - jusqu'à 3,5 m de haut. Or même si la pose des châssis (30 à 35 kg) se faisait à deux ouvriers, le poids à porter restait lourd et lors du vissage de l’appareil, qui pouvait se faire en hauteur, l’on voit mal que le recourant n’utilise que son bras droit, à l'exclusion du bras gauche. Le témoin D_________ a en outre déclaré que pour tirer les fibres optiques, il y avait lieu d'utiliser les bras en hauteur et pour la pose de câblage, il fallait monter sur des échelles et se contorsionner. Quelle que soit l'activité envisagée, les deux mains étaient nécessaires. Il y a encore lieu d'ajouter que ce travail a suscité de nombreuses rechutes douloureuses chez le recourant, qui ont été prises en charge par la SUVA. Enfin, il convient de relever que le poste adapté qui a été proposé au recourant prévoyait une diminution de sensible de salaire, raison pour laquelle l'on ne saurait reprocher au recourant de l'avoir refusé. Au vu de ce qui précède, le Tribunal de céans constatera que le travail d'ouvrier à l'exploitation chez X__________ n’était pas adapté aux limitations fonctionnelles du recourant. Il s’agira par conséquent de procéder à une comparaison des revenus avant et après invalidité pour déterminer le degré d’invalidité de l’assuré.</w:t>
      </w:r>
    </w:p>
    <w:p>
      <w:r>
        <w:rPr>
          <w:b/>
        </w:rPr>
        <w:t>E. 7</w:t>
      </w:r>
    </w:p>
    <w:p>
      <w:r>
        <w:t>a) Selon l'art. 18 LAA, dans sa teneur en vigueur depuis le 1er janvier 2003, si l'assuré est invalide à 10% au moins par suite d'un accident, il a droit à une rente d'invalidité (al.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no 77). Lorsque l'assuré ne reprend pas</w:t>
      </w:r>
    </w:p>
    <w:p>
      <w:r>
        <w:t>A/4882/2006 - 15/17 - d'activité lucrative, la comparaison peut se faire au moyen de tabelles statistiques publiées par l'Office fédéral de la statistique (ATF 126 V 76 consid. 3a/bb et les références) ou de données salariales résultant de descriptions de postes de travail (DPT) (ATF 129 V 472), les DPT de la CNA n'ayant pas de valeur prépondérante par rapport aux données statistiques (RAMA 1999 U 343 consid. 4b/aa, p. 412). S'agissant des statistiques, on se référera aux salaires bruts standardisés, en se fondant toujours sur la médiane ou valeur centrale (ATF 124 V 321),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f) Aux termes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La rente est allouée pour tout le mois au cours duquel ledit droit est né. En vertu de l’art. 15 al. 2 LAA, seconde phrase, est déterminant pour le calcul des rentes le salaire que l’assuré a gagné durant l’année qui a précédé l’accident.</w:t>
      </w:r>
    </w:p>
    <w:p>
      <w:r>
        <w:rPr>
          <w:b/>
        </w:rPr>
        <w:t>E. 8</w:t>
      </w:r>
    </w:p>
    <w:p>
      <w:r>
        <w:t>Il convient dès lors de procéder à la comparaison des revenus avant et après invalidité, afin de déterminer le degré éventuel d’invalidité du recourant. L’année déterminante pour la comparaison des revenus est l’année 2003, puisque l'intimée a versé des indemnités journalières au recourant jusqu'au 9 mars 2003. Quant au salaire avant invalidité, selon les déclarations de l’employeur du 25 janvier 2000, il s’élevait dans l'année précédant l'accident à 82'198 fr. Réévalué à l'année 2003 (La Vie Économique, tableau B 10.3), ce montant doit être porté à 86'929 fr. 65.</w:t>
      </w:r>
    </w:p>
    <w:p>
      <w:r>
        <w:t>A/4882/2006 - 16/17 - Pour le revenu après invalidité, compte tenu de l’activité légère de substitution, le salaire statistique de référence est celui auquel peuvent prétendre les hommes effectuant des activités simples et répétitives en 2002, à savoir 4'557 fr. par mois ou 54'684 fr. par an (ESS 2002, tableau TA1, niveau de qualification 4). Comme les salaires bruts standardisés tiennent compte d'un horaire de travail de quarante heures, soit une durée hebdomadaire inférieure à la moyenne usuelle dans les entreprises (41,7 heures en 2002; cf. La Vie économique tableau B 9.2), ce montant doit être porté à 57'008 fr. 05. Réactualisé pour l’année 2003 par le biais de l’indice des salaires nominaux, le salaire après invalidité s'élève à 57'815 fr. 70. Compte tenu des limitations que présente le recourant, un abattement de 10% selon la jurisprudence se justifie, ce qui porte le revenu après invalidité à 52'034 fr. 10. Ainsi, si l’on compare ce montant avec le revenu sans invalidité ([86'929 fr. 65 – 52'034 fr. 10] x 100 / 86'929 fr. 65), l’on obtient un degré d’invalidité de 40,14% auquel correspond une rente de 40%. Cette rente doit être versée dès le 10 mars 2003, puisque la SUVA a servi des indemnités journalières jusqu'au 9 mars 2003 et que l'état de santé était stabilisé à cette date.</w:t>
      </w:r>
    </w:p>
    <w:p>
      <w:r>
        <w:rPr>
          <w:b/>
        </w:rPr>
        <w:t>E. 9</w:t>
      </w:r>
    </w:p>
    <w:p>
      <w:r>
        <w:t>Au vu de ce qui précède, le recours sera partiellement admis dans le sens des considérants. Obtenant partiellement gain de cause, le recourant aura droit à des dépens, fixés 2'000 fr.</w:t>
      </w:r>
    </w:p>
    <w:p>
      <w:r>
        <w:t>A/4882/2006 - 17/17 -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