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ATAS/1449/2012 vom 30. November 2012</w:t>
      </w:r>
    </w:p>
    <w:p>
      <w:r>
        <w:t>GE Cour de justice, 2012-11-30, FR</w:t>
      </w:r>
    </w:p>
    <w:p>
      <w:r>
        <w:rPr>
          <w:b/>
        </w:rPr>
        <w:t xml:space="preserve">Quelle: </w:t>
      </w:r>
      <w:r>
        <w:t>https://mcp.opencaselaw.ch/entscheid/ge_gerichte_ATAS_1449_2012</w:t>
      </w:r>
    </w:p>
    <w:p>
      <w:r>
        <w:t>FR: GE_GERICHTE ATAS/1449/2012 du 30 novembre 2012</w:t>
      </w:r>
    </w:p>
    <w:p>
      <w:r>
        <w:t>IT: GE_GERICHTE ATAS/1449/2012 del 30 novembre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A teneur de l'art. 1 al. 1 LPC, les dispositions de la LPGA s'appliquent,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w:t>
      </w:r>
    </w:p>
    <w:p>
      <w:r>
        <w:t>A/1339/2012 - 5/9 - pour la période courant jusqu’au 31 décembre 2007 et le nouveau droit pour celle depuis le 1er janvier 2008.</w:t>
      </w:r>
    </w:p>
    <w:p>
      <w:r>
        <w:rPr>
          <w:b/>
        </w:rPr>
        <w:t>E. 4</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5</w:t>
      </w:r>
    </w:p>
    <w:p>
      <w:r>
        <w:t>Le litige porte sur les questions de savoir, d’une part, quel délai de prescription s’applique, d’autre part, quels montants prendre en compte au titre de fortune dans le calcul des prestations complémentaires.</w:t>
      </w:r>
    </w:p>
    <w:p>
      <w:r>
        <w:rPr>
          <w:b/>
        </w:rPr>
        <w:t>E. 6</w:t>
      </w:r>
    </w:p>
    <w:p>
      <w:r>
        <w:t>a) Les personnes qui ont leur domicile et leur résidence habituelle en Suisse et qui remplissent les conditions (personnelles) prévues aux art. 4 à 6 et 8 LPC (art. 2ss aLPC) ont droit à des prestations complémentaires. Le montant de la prestation complémentaire annuelle correspond à la différence entre les dépenses reconnues et les revenus déterminants (art. 9 al. 1 LPC, art. 3a al. 1 aLPC). Font partie des revenus déterminants notamment les rentes, pensions et autres prestations périodiques (art. 11 al. 1 let. d LPC, art. 3c al. 1 let. d aLPC), un quinzième de la fortune nette pour les bénéficiaires de rentes de l’assurance- invalidité, dans la mesure où elle dépasse 40'000 fr. pour les couples (art. 11 al. 1 let. c LPC, art 3c al. 1 let. c aLPC) et le produit de ladite fortune (art. 11 al. 1 let. b et c LPC, art. 3c al. 1 let. b aLPC). b) Sur le plan cantonal, la LPCC renvoie à la réglementation fédérale pour le calcul du revenu et de la fortune déterminants (art. 5 et 7 LPCC, dans leur version en vigueur dès le 1er janvier 2008). Pour la période antérieure au 1er janvier 2008, la LPCC prévoyait ce qui suit. Les personnes dont le revenu annuel déterminant n’atteignait pas le revenu minimum cantonal d’aide sociale (RMCAS) applicable avaient droit à des prestations complémentaires cantonales (art. 4 aLPCC). Le revenu déterminant comprenait notamment les rentes, pensions et autres prestations périodiques (art. 5 al. 1 let. f aLPCC), un huitième de la fortune nette pour les bénéficiaires de rentes de l’assurance-invalidité, après déduction d’un montant de 40'000 fr. pour les couples (art. 5 al. 1 let. c aLPCC) ainsi que le produit de la fortune mobilière et immobilière (art. 5 al. 1 let. b aLPCC).</w:t>
      </w:r>
    </w:p>
    <w:p>
      <w:r>
        <w:t>A/1339/2012 - 6/9 -</w:t>
      </w:r>
    </w:p>
    <w:p>
      <w:r>
        <w:rPr>
          <w:b/>
        </w:rPr>
        <w:t>E. 7</w:t>
      </w:r>
    </w:p>
    <w:p>
      <w:r>
        <w:t>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l’art. 27 al. 1 de l’ordonnance sur les prestations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a/bb) Au niveau cantonal, l’art. 24 al. 1 LPCC stipule également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w:t>
      </w:r>
    </w:p>
    <w:p>
      <w:r>
        <w:t>A/1339/2012 - 7/9 -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8</w:t>
      </w:r>
    </w:p>
    <w:p>
      <w:r>
        <w:t>En d’autres termes, la modification d’une décision d’octroi de prestations complémentaires peut avoir un effet ex tunc ou un effet ex nunc et pro futuro. a) La modification peut avoir un effet ex tunc lorsque sont réalisées les conditions qui président à la révocation, par son auteur, d’une décision administrative (révision dite procédurale ou reconsidération d’une décision sans nul doute erronée et dont la rectification revêt une importance notable). b) La modification d’une décision avec effet ex nunc et pro futuro est visée à l’art. 25 OPC-AVS/AI.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al. 1 let. c, lors d’une augmentation de l’excédent des dépenses, la nouvelle décision doit porter effet dès le début du mois au cours duquel le changement a été annoncé, mais au plus tôt à partir du mois dans lequel celui-ci est survenu ; lors d’une diminution de l’excédent des dépenses, elle portera effet au plus tard dès le mois qui suit celui au cours duquel la nouvelle décision a été rendue, la créance en restitution étant réservée en cas de violation de l’obligation de renseigner.</w:t>
      </w:r>
    </w:p>
    <w:p>
      <w:r>
        <w:rPr>
          <w:b/>
        </w:rPr>
        <w:t>E. 9</w:t>
      </w:r>
    </w:p>
    <w:p>
      <w:r>
        <w:t>En l’espèce, il convient en premier lieu d’examiner si les conditions d’une révision procédurale ou d’une reconsidération sont réunies. Tel n’est pas le cas. On ne saurait en effet conclure que la décision initiale était manifestement erronée puisque les calculs alors effectués l’ont été sur la base d’une</w:t>
      </w:r>
    </w:p>
    <w:p>
      <w:r>
        <w:t>A/1339/2012 - 8/9 - évaluation alors fournie par le demandeur de prestations, évaluation dont il n’est pas allégué qu’elle aurait alors été inexacte. La situation a simplement évolué entre 1996 et 2011. On ne saurait non plus conclure à une révision procédurale, vu l’absence de fait ou de moyen de preuve nouveau. Certes, une nouvelle évaluation a eu lieu en 2010, qui est parvenue à un montant bien différent de celui retenu près de quinze ans plus tôt. Mais il ne s’agit pas là d’un moyen de preuve nouveau puisqu’il porte sur une situation postérieure à celle ayant fait l’objet des décisions sur lesquelles l’intimé entend revenir. On est bien plutôt dans la situation visée par l’art. 25 al. 1 let. d OPC-AVS, c'est-à- dire la constatation, lors d’un contrôle périodique, qu’il y a eu changement des dépenses reconnues, des revenus déterminants et de la fortune. Dès lors, le changement en question ne saurait être pris en considération, au plus tôt, qu’à partir du mois dans lequel celui-ci est survenu, la créance en restitution étant réservée lorsque l’obligation de renseigner a été violée (art. 25 al. 2 let. d OPC-AVS). L’intimé soutient que tel a été le cas. La Cour de céans ne saurait le suivre. En effet, ainsi que le fait remarquer le recourant, s’il était certes tenu de communiquer au SPC toute modification importante des circonstances déterminantes pour l’octroi des prestations, l’évolution de la valeur de son bien immobilier n’en faisait pas partie en l’absence de demande de l’intimé sur ce point et en l’absence d’aliénation de l’objet immobilier en question. Reprocher au recourant une violation de son obligation de renseigner reviendrait à lui reprocher de n’avoir pas fait procéder régulièrement - en dehors de toute demande du SPC - à une évaluation de son bien. Or, rien de tel n’a jamais été demandé par le SPC. Il n’y a donc pas lieu de revenir sur le calcul des prestations antérieures au mois d’octobre 2010 - date de la nouvelle estimation. Dans cette mesure, le recours est partiellement admis en ce sens que seules les prestations indûment versées à compter d’octobre 2010 devront être restituées.</w:t>
      </w:r>
    </w:p>
    <w:p>
      <w:r>
        <w:t>A/1339/2012 - 9/9 - PAR CES MOTIFS, LA CHAMBRE DES ASSURANCES SOCIALES : Statuant A la forme : 1. Déclare le recours recevable. Au fond : 2. L’admet partiellement au sens des considérants. 3. Annule les décisions des 17 février et 6 septembre 2011 et 15 mars 2012. 4. Renvoie la cause à l’intimé à charge de calculer le montant des prestations à restituer à compter du mois d’octobre 2010. 5. Condamne l’intimé à verser au recourant la somme de 2’000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