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ATAS/1449/2008 vom 9. Dezember 2008</w:t>
      </w:r>
    </w:p>
    <w:p>
      <w:r>
        <w:t>GE Cour de justice, 2008-12-09, FR</w:t>
      </w:r>
    </w:p>
    <w:p>
      <w:r>
        <w:rPr>
          <w:b/>
        </w:rPr>
        <w:t xml:space="preserve">Quelle: </w:t>
      </w:r>
      <w:r>
        <w:t>https://mcp.opencaselaw.ch/entscheid/ge_gerichte_ATAS_1449_2008</w:t>
      </w:r>
    </w:p>
    <w:p>
      <w:r>
        <w:t>FR: GE_GERICHTE ATAS/1449/2008 du 9 décembre 2008</w:t>
      </w:r>
    </w:p>
    <w:p>
      <w:r>
        <w:t>IT: GE_GERICHTE ATAS/1449/2008 del 9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est recevable (art. 56 et 60 LPGA).</w:t>
      </w:r>
    </w:p>
    <w:p>
      <w:r>
        <w:rPr>
          <w:b/>
        </w:rPr>
        <w:t>E. 4</w:t>
      </w:r>
    </w:p>
    <w:p>
      <w:r>
        <w:t>L'objet du litige porte sur le bien-fondé de la décision de non entrée en matière de l'OCAI.</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du Règlement sur l'assurance-invalidité).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68 consid. 5.2.3, 117 V 200 consid. 4b et les références). L'exigence sur le caractère plausible de la nouvelle demande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 27). La révision ne doit pas servir à réparer une omission qui aurait pu être évitée par un requérant diligent (KIESER, ATSG-Kommentar, note 12 ad art. 53). En cela, elle est un moyen subsidiaire par rapport aux voies de droit ordinaires (BEERLI-BONORAND, Die ausserordentlichen Rechtsmittel in der Verwaltungsrechtspflege des Bundes und der Kantone, thèse Zurich 1985, p. 109).</w:t>
      </w:r>
    </w:p>
    <w:p>
      <w:r>
        <w:t>A/3779/2008 - 6/7 - Si le recourant ne rend pas plausible une telle modification,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 ATF 112 V 372 consid. 2b et 390 consid. 1b).</w:t>
      </w:r>
    </w:p>
    <w:p>
      <w:r>
        <w:rPr>
          <w:b/>
        </w:rPr>
        <w:t>E. 6</w:t>
      </w:r>
    </w:p>
    <w:p>
      <w:r>
        <w:t>En l'espèce, force est de constater que c'est à juste titre que l'OCAI n'est pas entré en matière sur la nouvelle demande. Comme l'a relevé le SMR, les faits médicaux sur lesquels s'appuie le recourant existaient déjà lors de la précédente procédure, et ont été pris en considération à ce moment-là. Le médecin traitant faisait, à l'époque, une analyse différente de la capacité de travail de son patient de celle effectuée par l'expert, qu'il confirme aujourd'hui. Par ailleurs, le SMR avait examiné l'état psychique du recourant, et exclu toute pathologie invalidante. Le psychiatre traitant n'atteste, aujourd'hui, pas d'une aggravation de l'état de santé, mais procède à une évaluation différente de celui-ci. Il relève d'ailleurs l'amélioration de l'état de santé de son patient, puisqu'il retient, à l'instar du psychologue, que le recourant reste fragile mais que les idées suicidaires ont disparu.</w:t>
      </w:r>
    </w:p>
    <w:p>
      <w:r>
        <w:rPr>
          <w:b/>
        </w:rPr>
        <w:t>E. 7</w:t>
      </w:r>
    </w:p>
    <w:p>
      <w:r>
        <w:t>En conclusion, le recours ne peut être que rejeté.</w:t>
      </w:r>
    </w:p>
    <w:p>
      <w:r>
        <w:rPr>
          <w:b/>
        </w:rPr>
        <w:t>E. 8</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A/3779/2008 - 7/7 -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