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ATAS/1444/2008 vom 5. Dezember 2008</w:t>
      </w:r>
    </w:p>
    <w:p>
      <w:r>
        <w:t>GE Cour de justice, 2008-12-05, FR</w:t>
      </w:r>
    </w:p>
    <w:p>
      <w:r>
        <w:rPr>
          <w:b/>
        </w:rPr>
        <w:t xml:space="preserve">Quelle: </w:t>
      </w:r>
      <w:r>
        <w:t>https://mcp.opencaselaw.ch/entscheid/ge_gerichte_ATAS_1444_2008</w:t>
      </w:r>
    </w:p>
    <w:p>
      <w:r>
        <w:t>FR: GE_GERICHTE ATAS/1444/2008 du 5 décembre 2008</w:t>
      </w:r>
    </w:p>
    <w:p>
      <w:r>
        <w:t>IT: GE_GERICHTE ATAS/1444/2008 del 5 dicembre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 l'occurrence, dès lors que les faits déterminants se sont produits après le 1er janvier 2003, tant les règles matérielles que de procédure de la LPGA s’appliquent. Pour le surplus, les dispositions de la novelle du 21 mars 2003 modifiant la LAI (4ème révision), entrée en vigueur le 1er janvier 2004 (RO 2003 3852) sont applicables (ATF 127 V 467 consid. 1), en leur teneur en vigueur jusqu'au 31 décembre 2007.</w:t>
      </w:r>
    </w:p>
    <w:p>
      <w:r>
        <w:t>A/1501/2008 - 8/12 -</w:t>
      </w:r>
    </w:p>
    <w:p>
      <w:r>
        <w:rPr>
          <w:b/>
        </w:rPr>
        <w:t>E. 3</w:t>
      </w:r>
    </w:p>
    <w:p>
      <w:r>
        <w:t>Interjeté dans les forme et délais prescrits par la loi, le recours est recevable (art. 56 et 60 LPGA).</w:t>
      </w:r>
    </w:p>
    <w:p>
      <w:r>
        <w:rPr>
          <w:b/>
        </w:rPr>
        <w:t>E. 4</w:t>
      </w:r>
    </w:p>
    <w:p>
      <w:r>
        <w:t>L'objet du litige consiste à déterminer si c'est à bon droit que l'intimé a supprimé la rente entière d'invalidité du recourant au 28 février 2005.</w:t>
      </w:r>
    </w:p>
    <w:p>
      <w:r>
        <w:rPr>
          <w:b/>
        </w:rPr>
        <w:t>E. 5</w:t>
      </w:r>
    </w:p>
    <w:p>
      <w:r>
        <w:t>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Selon l’art. 4 LAI, l'invalidité peut résulter d'une infirmité congénitale, d'une maladie ou d'un accident. L’invalidité est réputée survenue dès qu’elle est par sa nature et sa gravité, propre à ouvrir droit aux prestations entrant en considération. Ce moment doit être déterminé objectivement, d'après l'état de santé; des facteurs externes fortuits n'ont pas d'importance (ATF 126 V 9 consid. 2b, 160 consid. 3a, 118 V 82 consid. 3a et les références).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égal ou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S'agissant enfin du droit à une rente, la survenance de l'invalidité se situe au moment où celui-ci prend naissance, conformément à l'art. 29 al. 1 LAI, soit dès que l'assuré présente une incapacité de gain durable de 40 pour cent au moins ou</w:t>
      </w:r>
    </w:p>
    <w:p>
      <w:r>
        <w:t>A/1501/2008 - 9/12 - dès qu'il a présenté, en moyenne, une incapacité de travail de 40 pour cent au moins pendant une année sans interruption notable, mais au plus tôt le 1er jour du mois qui suit le dix-huitième anniversaire de l'assuré (art. 29 al. 2 LAI; ATF 126 V 9 consid. 2b et les références). Par ailleurs, selon la jurisprudence, une décision par laquelle l'assurance-invalidité accorde une rente d'invalidité avec effet rétroactif et, en même temps, prévoit la réduction ou la suppression de cette rente, correspond à une décision de révision (ATF 125 V 417 consid. 2d et les références; VSI 2001 p. 157 consid. ). En cas d'allocation d'une rente dégressive ou temporaire, la date de la modification du droit (diminution ou suppression de la rente) doit être fixée conformément à l'art. 88a al. 1 RAI (ATF 125 V 417 consid. 2d; RCC 1984 p. 137). Selon cette disposition, en sa teneur en vigueur dès le 1er janvier 2004, si la capacité de gain ou la capacité d'accomplir les travaux habituels d'un 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6</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w:t>
      </w:r>
    </w:p>
    <w:p>
      <w:r>
        <w:rPr>
          <w:b/>
        </w:rPr>
        <w:t>E. 7</w:t>
      </w:r>
    </w:p>
    <w:p>
      <w:r>
        <w:t>En l'occurrence, il n'est pas contesté que le recourant a subi une incapacité de travail de 100 % depuis le 18 mai 2003, dans toute activité lucrative. Demeure litigieuse la date à partir de laquelle son état de santé psychique s'est amélioré dans une mesure lui permettant d'exercer une activité lucrative.</w:t>
      </w:r>
    </w:p>
    <w:p>
      <w:r>
        <w:t>A/1501/2008 - 10/12 - Selon l'expertise du Dr M__________ du 11 février 2005 à l'attention de l'assureur perte de gain, le recourant présentait un trouble dépressif récurrent, d'intensité moyenne avec syndrome somatique et une personnalité émotionnellement labile, de type borderline. Sa capacité de travail était nulle et le pronostic réservé, au vu du grave trouble de la personnalité. On pouvait s'attendre à ce que l'assuré recouvre une capacité de travail plus importante dans une année environ, soit en juin 2005. L'expert proposait une réadaptation professionnelle dans un cadre structurant et sécurisant au travers de l'AI. Le Dr N__________, psychiatre à la Consultation de la Jonction, indiquait le 23 mai 2005 que l'incapacité de travail était toujours de 100 %, et ajoutait que le recourant pourrait reprendre une activité professionnelle, l'ancienne activité étant encore exigible, à 50 % ; il proposait de voir la chose avec les médecins somaticiens. La Dresse Q__________, qui a repris le suivi médical du recourant à la Consultation de la Jonction depuis le 1er novembre 2005, indique dans son rapport du 9 janvier 2006 que du point de vue psychiatrique le patient a récupéré sa capacité de travail, avec une reprise initiale à 50 % dès aujourd'hui, puis à 100 % si aucune complication ne survient. Finalement, dans son rapport du 25 septembre 2006, la Dresse Q__________ mentionne une capacité de travail de 100 % depuis le 7 décembre 2005, en tant que chauffeur livreur, relevant que le patient a pu, à l'issue d'un stage, être engagé à plein temps depuis juin 2006. Le SMR soutient que l'expertise du Dr M__________ ne le convainc pas, car le diagnostic n'est pas justifié par les critères symptômes de la CIM-10 et se fonde sur le rapport de la Dresse Q__________ signalant une rémission depuis 18 mois pour fixer la survenance de ladite rémission en décembre 2004. En incluant trois mois de consolidation, l'état est ainsi stabilisé, de sorte que le SMR fixe au 1er mars 2005 le retour à une pleine capacité de travail dans la profession antérieure. Rien dans le dossier ne permet de parvenir à une telle conclusion. Tout d'abord, on ne voit pas en quoi l'expertise du Dr M__________ ne serait pas convaincante, car elle est basée sur les examens de juin et juillet 2004 - ce que semble oublier le SMR - , les diagnostics ne sont pas contredits par les médecins des HUG, ni l'évolution de l'état de santé, puisque la rémission clinique est signalée au plus tôt début 2005, contrairement à ce que soutient l'intimé. Ensuite, ce qui est décisif, ce n'est pas le diagnostic en tant que tel, mais c'est de savoir à partir de quand l'état de santé psychique du recourant s'est amélioré dans une mesure lui permettant de reprendre une activité professionnelle. Or, si certes une rémission de l'état psychique a été signalée au début de l'année 2005, aucun des psychiatres ayant examiné et/ou suivi le recourant n'a attesté d'une reprise de travail dès décembre 2004. Qui plus est, le Dr N__________ a précisé lors de son audition que le recourant avait été victime d'un accident en février 2005, sans lésions physiques mais lors duquel le véhicule a été entièrement démoli, ce qui avait causé un stress important et aggravé l'état de santé psychique du patient. Le psychiatre avait dû alors intensifier le traitement et rapprocher les entretiens. Il a</w:t>
      </w:r>
    </w:p>
    <w:p>
      <w:r>
        <w:t>A/1501/2008 - 11/12 - par ailleurs confirmé que durant la période de son suivi, d'octobre 2004 à fin octobre 2005, l'incapacité de travail était de 100 % dans toute activité. Il a d'ailleurs délivré des certificats d'arrêts de travail de 100 % jusqu'à fin octobre 2005. Le recourant était encore fragile et il n'aurait pas été en mesure de reprendre une activité; le fait de devoir subir des stress professionnels constituait en effet un risque de rechute. Selon le médecin, le but du traitement était de soigner la dépression, consolider le traitement et prévenir une rechute. La Dresse Q__________ a confirmé cette appréciation dans ses rapports de janvier 2006 et septembre 2006 et a finalement attesté une reprise de travail à 100 % dès le 7 décembre 2005, afin de permettre au recourant de s'inscrire au chômage. Le Tribunal de céans relève à cet égard que l'intimé n'a pas accordé au recourant une réinsertion professionnelle, pourtant préconisée par les psychiatres. C'est ainsi par le biais du chômage où il s'est immédiatement inscrit dès le certificat de reprise de travail de décembre 2005, que le recourant a pu participer à une réinsertion professionnelle chez IPT, obtenir un stage et, finalement, un emploi. Le Tribunal de céans considère au vu du dossier médical, notamment des rapports des Dr M__________, de la Dresse Q__________, ainsi que des déclarations du Dr N__________ que ce n'est qu'à partir du 7 décembre 2005 au plus tôt que le recourant a retrouvé une pleine capacité de travail. En conséquence, conformément à l'art. 88a al. 1 RAI, la suppression de la rente ne peut intervenir qu'à l'échéance du délai de trois mois, soit à fin mars 2006.</w:t>
      </w:r>
    </w:p>
    <w:p>
      <w:r>
        <w:rPr>
          <w:b/>
        </w:rPr>
        <w:t>E. 8</w:t>
      </w:r>
    </w:p>
    <w:p>
      <w:r>
        <w:t>Le recours, bien fondé, est admis.</w:t>
      </w:r>
    </w:p>
    <w:p>
      <w:r>
        <w:rPr>
          <w:b/>
        </w:rPr>
        <w:t>E. 9</w:t>
      </w:r>
    </w:p>
    <w:p>
      <w:r>
        <w:t>Le recourant, représenté par un avocat, a droit à une indemnité à titre de participation à ses frais et dépens, que le Tribunal fixe à 2'000 fr. (art. 61 let. g LAI).</w:t>
      </w:r>
    </w:p>
    <w:p>
      <w:r>
        <w:rPr>
          <w:b/>
        </w:rPr>
        <w:t>E. 10</w:t>
      </w:r>
    </w:p>
    <w:p>
      <w:r>
        <w:t>Au vu de l'issue du litige, un émolument de 1'000 fr. est mis à la charge de l'intimé (art. 69 al. 1bis LAI).</w:t>
      </w:r>
    </w:p>
    <w:p>
      <w:r>
        <w:t>A/1501/2008 - 12/12 -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