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ATAS/1443/2009 vom 1. Juli 2008</w:t>
      </w:r>
    </w:p>
    <w:p>
      <w:r>
        <w:t>GE Cour de justice, 2008-07-01, FR</w:t>
      </w:r>
    </w:p>
    <w:p>
      <w:r>
        <w:rPr>
          <w:b/>
        </w:rPr>
        <w:t xml:space="preserve">Quelle: </w:t>
      </w:r>
      <w:r>
        <w:t>https://mcp.opencaselaw.ch/entscheid/ge_gerichte_ATAS_1443_2009</w:t>
      </w:r>
    </w:p>
    <w:p>
      <w:r>
        <w:t>FR: GE_GERICHTE ATAS/1443/2009 du 1 juillet 2008</w:t>
      </w:r>
    </w:p>
    <w:p>
      <w:r>
        <w:t>IT: GE_GERICHTE ATAS/1443/2009 del 1 luglio 2008</w:t>
      </w:r>
    </w:p>
    <w:p>
      <w:pPr>
        <w:pStyle w:val="Heading2"/>
      </w:pPr>
      <w:r>
        <w:t>Regeste</w:t>
      </w:r>
    </w:p>
    <w:p>
      <w:r>
        <w:t>Résumé: Les recherches d'emploi doivent revêtir un caractère sérieux tant qualitativement quand quantitativement. Tel n'est pas le cas lorsque le nombre de recherche est insuffisant, qu'il n'est pas possible d'en vérifier la véracité (pas de coordonnées téléphoniques)er que le CV ne fait pas état de compétences utiles au poste.</w:t>
      </w:r>
    </w:p>
    <w:p>
      <w:pPr>
        <w:pStyle w:val="Heading2"/>
      </w:pPr>
      <w:r>
        <w:t>Erwägungen</w:t>
      </w:r>
    </w:p>
    <w:p>
      <w:r>
        <w:rPr>
          <w:b/>
        </w:rPr>
        <w:t>E. 1</w:t>
      </w:r>
    </w:p>
    <w:p>
      <w:r>
        <w:t>Conformément à l'art. 56V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est applicable au cas d'espèce.</w:t>
      </w:r>
    </w:p>
    <w:p>
      <w:r>
        <w:rPr>
          <w:b/>
        </w:rPr>
        <w:t>E. 3</w:t>
      </w:r>
    </w:p>
    <w:p>
      <w:r>
        <w:t>Interjeté dans les délai et forme légaux, le recours est recevable (art. 56 al. 1 et 60 LPGA, et art. 49 al. 3 de la loi genevoise en matière de chômage (RSG J 2 20).</w:t>
      </w:r>
    </w:p>
    <w:p>
      <w:r>
        <w:rPr>
          <w:b/>
        </w:rPr>
        <w:t>E. 4</w:t>
      </w:r>
    </w:p>
    <w:p>
      <w:r>
        <w:t>Le litige porte sur la question de savoir si l’OCE a suspendu valablement le droit du recourant à l’indemnité de chômage pendant 10 jours jours, pour faute légère à moyennement grave.</w:t>
      </w:r>
    </w:p>
    <w:p>
      <w:r>
        <w:rPr>
          <w:b/>
        </w:rPr>
        <w:t>E. 5</w:t>
      </w:r>
    </w:p>
    <w:p>
      <w:r>
        <w:t>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que concernant les recherches d'emploi, ce n'est pas seulement la quantité qui importe, mais aussi la qualité. Ainsi, la manière de postuler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w:t>
      </w:r>
    </w:p>
    <w:p>
      <w:r>
        <w:t>A/3056/2009 - 5/7 -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 L'article 26 OACI précise s'agissant des recherches personnelles que l'assuré doit cibler ses recherches d'emploi, en règle générale selon les méthodes de postulation ordinaires, et fournir à l'office compétent la preuve des efforts qu'il entreprend pour trouver du travail. Par ailleurs, en cas de recherches insuffisantes, en qualité ou en quantité, pour la troisième fois, la sanction préconisée par le SECO et de 10 à 19 jours de suspension (D 72). Par ailleurs, on rappellera qu'en vertu des art. 61 let. d LPGA et 89E LPA, le Tribunal de céans peut, indépendamment des conclusions des parties, réformer la décision attaquée en faveur ou au détriment du recourant. Il doit préalablement donner aux parties l’occasion de se prononcer ou de retirer le recours. Selon la jurisprudence constante, lorsqu’une autorité envisage de procéder sur recours à une reformatio in peius de la décision attaquée, elle est tenue d’avertir le recourant de son intention et doit lui donner l’occasion de s’exprimer (ATF 122 V 167 consid. 2a et les arrêts cités. Par ailleurs, dans une telle situation, la partie invitée à s’exprimer sur l’éventualité d’une réforme, à son détriment, de la décision entreprise doit être expressément rendue attentive à la possibilité de retirer son recours (ATF 122 V 167 consid. 2b). Il ne s’agit toutefois que d’une faculté donnée au juge de réformer la décision attaquée en défaveur d’une partie, à laquelle il peut renoncer au vu de l’ensemble des circonstances (ATF 119 V 241 consid. 5 ; ATFA non publié du 2 juin 2003, C 119/02, consid. 4).</w:t>
      </w:r>
    </w:p>
    <w:p>
      <w:r>
        <w:rPr>
          <w:b/>
        </w:rPr>
        <w:t>E. 6</w:t>
      </w:r>
    </w:p>
    <w:p>
      <w:r>
        <w:t>Dans le cas d'espèce, le Tribunal constate que les recherches effectuées par le recourant durant le mois de février 2009 ne comprenaient pas au moins 10 recherches écrites, de sorte que le recourant a déjà commis par là une faute en ne suivant pas les instructions de son conseiller ; par ailleurs, les six recherches effectuées par téléphone étaient invérifiables puisque les numéros de téléphone ne figuraient pas sur la feuille de recherches ; il est tout à fait inadmissible de prétendre qu'il appartenait au conseiller en personnel de s'enquérir de ces numéros de téléphone ; en ne les communiquant pas spontanément, le recourant rend la vérification impossible, de sorte que ces recherches ne peuvent compter comme recherches valables ; enfin, le recourant s'est évertué à chercher un emploi dans des domaines très différents de son domaine de compétence, pour des raisons qu'il a expliquées et qui pourraient être admises, pour autant que le recourant se soit donné la peine de mettre son CV à jour en incluant ces domaines de compétence. Postuler par exemple comme aide cuisinier sur la base d'un CV administratif revient à faire une recherche nulle en qualité.</w:t>
      </w:r>
    </w:p>
    <w:p>
      <w:r>
        <w:t>A/3056/2009 - 6/7 - C'est donc une feuille de recherches particulièrement mauvaise en qualité que le recourant a remis à son conseiller pour le mois de février 2009. La sanction est dès lors parfaitement justifiée dans son principe. De l'avis du Tribunal, elle eut pût être supérieure à 10 jours, plus que celui-ci constitue un minimum pour un troisième manquement de ce type. Une suspension de 15 jours eût été plus adaptée aux circonstances du cas d'espèce. Cela étant, le Tribunal a renoncé à réformer la décision au détriment du recourant, pour tenir compte du fait que les mauvaises relations entre le recourant et son conseiller ont influencé la qualité des recherches de celui-ci, ce qui aurait pu être évité si un changement de conseiller avait bel et bien eu lieu.</w:t>
      </w:r>
    </w:p>
    <w:p>
      <w:r>
        <w:rPr>
          <w:b/>
        </w:rPr>
        <w:t>E. 7</w:t>
      </w:r>
    </w:p>
    <w:p>
      <w:r>
        <w:t>Vu ce qui précède, le recours est rejeté.</w:t>
      </w:r>
    </w:p>
    <w:p>
      <w:r>
        <w:t>A/3056/2009 - 7/7 -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