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ATAS/1441/2008 vom 5. Dezember 2008</w:t>
      </w:r>
    </w:p>
    <w:p>
      <w:r>
        <w:t>GE Cour de justice, 2008-12-05, FR</w:t>
      </w:r>
    </w:p>
    <w:p>
      <w:r>
        <w:rPr>
          <w:b/>
        </w:rPr>
        <w:t xml:space="preserve">Quelle: </w:t>
      </w:r>
      <w:r>
        <w:t>https://mcp.opencaselaw.ch/entscheid/ge_gerichte_ATAS_1441_2008</w:t>
      </w:r>
    </w:p>
    <w:p>
      <w:r>
        <w:t>FR: GE_GERICHTE ATAS/1441/2008 du 5 décembre 2008</w:t>
      </w:r>
    </w:p>
    <w:p>
      <w:r>
        <w:t>IT: GE_GERICHTE ATAS/1441/2008 del 5 dicembre 2008</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2</w:t>
      </w:r>
    </w:p>
    <w:p>
      <w:r>
        <w:t>Déposé dans les forme et délai prévus par la loi, le présent recours est recevable (art. 60 LPGA).</w:t>
      </w:r>
    </w:p>
    <w:p>
      <w:r>
        <w:rPr>
          <w:b/>
        </w:rPr>
        <w:t>E. 3</w:t>
      </w:r>
    </w:p>
    <w:p>
      <w:r>
        <w:t>Le présent litige ne porte que sur le droit de l'assurée à une rente d'invalidité ou à des mesures de réadaptation pour la période antérieure à novembre 2003 et pour celle allant du 1er janvier 2005 au 10 août 2006, l'OCAI ayant admis que l'assurée présentait une incapacité de travail de 100% dans toute activité du 16 novembre 2003 au 31 décembre 2004 et depuis le 11 août 2006.</w:t>
      </w:r>
    </w:p>
    <w:p>
      <w:r>
        <w:rPr>
          <w:b/>
        </w:rPr>
        <w:t>E. 4</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w:t>
      </w:r>
    </w:p>
    <w:p>
      <w:r>
        <w:t>A/790/2007 - 8/10 -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A/790/2007 - 9/10 -</w:t>
      </w:r>
    </w:p>
    <w:p>
      <w:r>
        <w:rPr>
          <w:b/>
        </w:rPr>
        <w:t>E. 6</w:t>
      </w:r>
    </w:p>
    <w:p>
      <w:r>
        <w:t>L’autorité administrative doit constater d’office les faits déterminants, c’est-à-dire toutes les circonstances dont dépend l’application des règles de droit (ATF 117 V 261 consid. 3 p. 263 ; T. LOCHER Grundriss des Sozialversicherungsrecht, Bern 1994, t.1, p. 438).</w:t>
      </w:r>
    </w:p>
    <w:p>
      <w:r>
        <w:rPr>
          <w:b/>
        </w:rPr>
        <w:t>E. 7</w:t>
      </w:r>
    </w:p>
    <w:p>
      <w:r>
        <w:t>L’administration est tenue d’ordonner une instruction complémentaire lorsque les allégations des parties et les éléments ressortant du dossier requièrent une telle mesure, et en particulier doit mettre en œuvre une expertise lorsqu’il paraît nécessaire de clarifier des aspects médicaux (ATF 117 V 282 consid. 4a, p. 283 ; RAMA 1985 p. 240 consid.4 ; LOCHER loc. cit.). Le juge qui considère que les faits ne sont pas suffisamment élucidés peut renvoyer la cause à l’administration pour complément d’instruction ou procéder lui-même à une telle instruction complémentaire (RAMA 1993 p. 136). En matière d’AI la première solution est en principe préférée, à moins que les parties ne soient d’accord avec la seconde, (ATFA I 431/02 du 8 novembre 2002). Tel n'est pas le cas en l'espèce, l'assurée ayant clairement manifesté sa préférence pour la mise en œuvre d'une expertise judiciaire. Il convient dès lors d’ordonner une expertise pluridisciplinaire, neurologique, orthopédique et psychiatrique, laquelle sera confiée au CENTRE D'EXPERTISES MEDICALES (COMAI), au Dr W__________, médecin responsable.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