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ATAS/1441/2007 vom 8. Februar 2007</w:t>
      </w:r>
    </w:p>
    <w:p>
      <w:r>
        <w:t>GE Cour de justice, 2007-02-08, FR</w:t>
      </w:r>
    </w:p>
    <w:p>
      <w:r>
        <w:rPr>
          <w:b/>
        </w:rPr>
        <w:t xml:space="preserve">Quelle: </w:t>
      </w:r>
      <w:r>
        <w:t>https://mcp.opencaselaw.ch/entscheid/ge_gerichte_ATAS_1441_2007</w:t>
      </w:r>
    </w:p>
    <w:p>
      <w:r>
        <w:t>FR: GE_GERICHTE ATAS/1441/2007 du 8 février 2007</w:t>
      </w:r>
    </w:p>
    <w:p>
      <w:r>
        <w:t>IT: GE_GERICHTE ATAS/1441/2007 del 8 febbraio 2007</w:t>
      </w:r>
    </w:p>
    <w:p>
      <w:pPr>
        <w:pStyle w:val="Heading2"/>
      </w:pPr>
      <w:r>
        <w:t>Regeste</w:t>
      </w:r>
    </w:p>
    <w:p>
      <w:r>
        <w:t>Résumé: Pendant le mariage des ex-époux, un versement anticipé de la prestation de libre passage de Monsieur avait été opéré au titre de l'encouragement à la propriété du logement. Or ce versement reste une pretation de l'ex-époux soumis au partage des avoirs de vieillesse. Cependant, le compte du demandeur auprès de la caisse de pension est crédité d'un montant inférieur au montant dû de sorte que le Tribunal des assurances ne peut exécuter le partage selon le jugement de divorce et invite les ex-époux à mieux agir devant le juge du divorce pour qu'il statue sur l'indemnité équitable due.</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A/1298/2007 4/8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a) Selon l'art. 30c al. 6 LPP, lorsque les époux divorcent avant la survenance d'un cas de prévoyance, le versement anticipé est considéré comme une prestation de libre passage et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 b) Selon l'art. 30d LPP, l’assuré ou ses héritiers doivent rembourser le montant perçu à l’institution de prévoyance si: a. le logement en propriété est vendu; b. des droits équivalant économiquement à une aliénation sont concédés sur le logement en propriété; c. aucune prestation de prévoyance n’est exigible en cas de décès de l’assuré (al. 1). L’assuré peut rembourser en tout temps le montant perçu, à condition de respecter les dispositions fixées à l’al. 3 (al. 2). Le remboursement est autorisé: a. jusqu’à trois ans avant la naissance du droit aux prestations de vieillesse; b. jusqu’à la survenance d’un autre cas de prévoyance; c. jusqu’au paiement en espèces de la prestation de libre passage (al.3).</w:t>
      </w:r>
    </w:p>
    <w:p>
      <w:r>
        <w:t>A/1298/2007 5/8 Si, dans un délai de deux ans, l’assuré entend investir à nouveau dans la propriété de son logement le produit de vente du logement équivalant au versement anticipé, il peut transférer ce montant à une institution de libre passage (al. 4). En cas de vente du logement, l’obligation de rembourser se limite au produit réalisé. Par produit, on entend le prix de vente, déduction faite des dettes hypothécaires et des charges légales supportées par le vendeur (al. 5). En cas de remboursement du versement anticipé à l’institution de prévoyance, celle-ci doit reconnaître à l’assuré un droit à des prestations proportionnellement plus élevées, déterminé par son règlement (al. 6). c) L'art. 30e al. 1 à 3 LPP prévoit que l'assuré ou ses héritiers ne peuvent vendre le logement en propriété que sous réserve de l’art. 30d. Est également considérée comme vente la cession de droits qui équivalent économiquement à une aliénation. N’est en revanche pas une aliénation le transfert de propriété du logement à un bénéficiaire au sens du droit de la prévoyance. Celui-ci est cependant soumis à la même restriction du droit d’aliéner que l’assuré (al. 1). Cette restriction du droit d’aliéner au sens de l’al. 1 doit être mentionnée au registre foncier. L’institution de prévoyance est tenue d’en requérir la mention au registre foncier lors du versement anticipé ou lors de la réalisation du gage grevant l’avoir de prévoyance (al. 2). La mention peut être radiée : a. trois ans avant la naissance du droit aux prestations de vieillesse; b. après la survenance d’un autre cas de prévoyance; c. en cas de paiement en espèces de la prestation de libre passage ou d. lorsqu’il est établi que le montant investi dans la propriété du logement a été transféré selon l’art. 30d à l’institution de prévoyance de l’assuré ou à une institution de libre passage (al. 3). d) Le versement anticipé n'a pas le caractère de prestation de prévoyance au sens des art. 197 al. 2 ch. 2 et 207 al. 2 CC et doit être traité comme un prêt de la caisse de pensions, pour le calcul du bénéfice de l'union conjugale. Assimilé à une expectative de prévoyance, il suit le sort d'une prestation non exigible (Marta TRIGO TRINDADE, Prévoyance professionnelle, divorce et succession in SJ 2000 p. 467 ss. P. 485). Selon J.-A. SCHNEIDER et C. BRUCHEZ, étant donné que le montant du versement anticipé ne se trouve pas dans l'institution de prévoyance, le conjoint débiteur devra payer, au moyen de son patrimoine, la part du versement anticipé revenant à son conjoint en application de l'art. 122 al. 1 CC. Lors de l'entrée en force du jugement de divorce, le conjoint débiteur doit verser ce montant intégralement et immédiatement à l'institution de prévoyance de son conjoint, dans laquelle il constitue une prestation d'entrée, comme le montant provenant de</w:t>
      </w:r>
    </w:p>
    <w:p>
      <w:r>
        <w:t>A/1298/2007 6/8 sa propre institution de prévoyance. Des problèmes pratiques pourront surgir lorsque le conjoint débiteur n'a pas les moyens financiers d'exécuter immédiatement le paiement intégral, sans réaliser le logement lui-même. Dans un tel cas, il nous paraît justifié de faire application des art. 123 et 124 CC en renonçant au partage de la part de la prestation de sortie investie dans le logement et en le remplaçant par le versement d'une indemnité équitable d'un montant correspondant, mais payable sous forme d'acomptes. Cette solution permet de sauvegarder les intérêts des deux conjoints : d'une part, le conjoint débiteur n'est pas contraint de vendre son logement en propriété pour payer la part due au conjoint créancier, d'autre part, le conjoint créancier bénéficie, sous forme de rentes, d'un montant équivalent à celui qu'il aurait reçu dans le cadre du partage (SCHNEIDER/BRUCHEZ, La prévoyance professionnelle et le divorce in Le nouveau droit du divorce p. 231).</w:t>
      </w:r>
    </w:p>
    <w:p>
      <w:r>
        <w:rPr>
          <w:b/>
        </w:rPr>
        <w:t>E. 4</w:t>
      </w:r>
    </w:p>
    <w:p>
      <w:r>
        <w:t>En l’espèce, le juge de première instance a ordonné le partage par moitié des avoirs de prévoyance des demandeurs. Les dates pertinentes sont, d’une part, celle du mariage, le 2 août 1985, d’autre part le 17 mars 2007, date à laquelle le jugement de divorce est devenu exécutoire.</w:t>
      </w:r>
    </w:p>
    <w:p>
      <w:r>
        <w:t>Compte tenu de l'âge des demandeurs au moment de leur mariage, soit vingt-deux ans, il y a lieu d'admettre que l'entier de leur avoir de prévoyance professionnelle a été constitué pendant le mariage. Selon les documents produits, la prestation acquise pendant le mariage par M. B_________ est de 101'077 fr. 25 auprès de la Caisse de pension d'UBS. Conformément à l'art. 30c al. 6 LPP et à la jurisprudence précitée, il convient d'ajouter à ce montant celui de 150'000 fr. correspondant au versement anticipé du 31 juillet 2005, sans intérêts. Ainsi, l'avoir de prévoyance acquis par le demandeur pendant la durée du mariage est de 251'077 fr. 25 (101'077 fr. 25 + 150'000 fr.). Quant à la demanderesse, elle ne dispose d'aucun avoir de prévoyance professionnelle. Le fait qu'elle ait cotisé à l'assurance-vieillesse et survivants (AVS) en 1987, 1988, 1989 et 2006 n'implique pas l'existence d'une affiliation à une institution de prévoyance, la LPP posant des conditions différentes de la celle de la LAVS. En conséquence, le demandeur doit à la demanderesse un montant de 125'538 fr. 60 (251'077 fr. 25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t>A/1298/2007 7/8</w:t>
      </w:r>
    </w:p>
    <w:p>
      <w:r>
        <w:rPr>
          <w:b/>
        </w:rPr>
        <w:t>E. 6</w:t>
      </w:r>
    </w:p>
    <w:p>
      <w:r>
        <w:t>En l'espèce toutefois, le compte du demandeur auprès de la Caisse de pension d'UBS SA est crédité d'un montant inférieur au montant dû (soit respectivement 104'069 fr. 90 au 31 mai 2007 et 125'538 fr. 60 plus les intérêts depuis le 17 mars 2007) de sorte que le Tribunal de céans est dans l'impossibilité de condamner la caisse de pension d'UBS SA à verser à la demanderesse sur son compte de libre passage ouvert auprès de la BCG le montant de 125'538 fr. 60 avec intérêts dès le 17 mars 2007 et en conséquence d'exécuter le partage selon le jugement de divorce du 8 février 2007.</w:t>
      </w:r>
    </w:p>
    <w:p>
      <w:r>
        <w:t>Or, dans le cas où il est impossible de procéder au partage, seule une indemnité équitable peut être fixée (ATF 130 III 297), laquelle est de la compétence du juge du divorce. En conséquence, le Tribunal de céans constatera l'impossibilité d'exécuter le partage selon le jugement de divorce du 8 février 2007 et renverra les demandeurs à mieux agir en révision dudit jugement de divorce par devant le Tribunal de première instance.</w:t>
      </w:r>
    </w:p>
    <w:p>
      <w:r>
        <w:rPr>
          <w:b/>
        </w:rPr>
        <w:t>E. 7</w:t>
      </w:r>
    </w:p>
    <w:p>
      <w:r>
        <w:t>Aucun émolument ne sera perçu, la procédure étant gratuite (art. 73 al. 2 LPP et 89H al. 1 de la loi sur la procédure administrative du 12 septembre 1985).</w:t>
      </w:r>
    </w:p>
    <w:p>
      <w:r>
        <w:t>A/1298/2007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