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ATAS/143/2018 vom 20. Februar 2018</w:t>
      </w:r>
    </w:p>
    <w:p>
      <w:r>
        <w:t>GE Cour de justice, 2018-02-20, FR</w:t>
      </w:r>
    </w:p>
    <w:p>
      <w:r>
        <w:rPr>
          <w:b/>
        </w:rPr>
        <w:t xml:space="preserve">Quelle: </w:t>
      </w:r>
      <w:r>
        <w:t>https://mcp.opencaselaw.ch/entscheid/ge_gerichte_ATAS_143_2018</w:t>
      </w:r>
    </w:p>
    <w:p>
      <w:r>
        <w:t>FR: GE_GERICHTE ATAS/143/2018 du 20 février 2018</w:t>
      </w:r>
    </w:p>
    <w:p>
      <w:r>
        <w:t>IT: GE_GERICHTE ATAS/143/2018 del 20 febbraio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des modifications concernant le montant des revenus déterminants, entrées en vigueur le 1er janvier 2015.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dès le 1er janvier 2015 (ATF 132 V 215 consid. 3.1.1; ATF 127 V 466 consid. 1; arrêt du Tribunal fédéral 9C_935/2010 du 18 février 2011 consid. 2).</w:t>
      </w:r>
    </w:p>
    <w:p>
      <w:r>
        <w:rPr>
          <w:b/>
        </w:rPr>
        <w:t>E. 4</w:t>
      </w:r>
    </w:p>
    <w:p>
      <w:r>
        <w:t>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w:t>
      </w:r>
    </w:p>
    <w:p>
      <w:r>
        <w:rPr>
          <w:b/>
        </w:rPr>
        <w:t>E. 5</w:t>
      </w:r>
    </w:p>
    <w:p>
      <w:r>
        <w:t>Le litige porte sur le droit de la recourante aux prestations complémentaires dès le 1er juin 2015, en particulier sur la prise en compte à titre de fortune d’un dessaisissement à hauteur de CHF 388’808.- au 1er juin 2015, respectivement de CHF 378'808.- au 1er janvier 2016, ainsi que du rendement hypothétique des biens dessaisis.</w:t>
      </w:r>
    </w:p>
    <w:p>
      <w:r>
        <w:t>A/2526/2017 - 13/22 -</w:t>
      </w:r>
    </w:p>
    <w:p>
      <w:r>
        <w:rPr>
          <w:b/>
        </w:rPr>
        <w:t>E. 6</w:t>
      </w:r>
    </w:p>
    <w:p>
      <w:r>
        <w:t>a)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19'290 francs pour les personnes seules. Selon la let. b de cette disposition, les dépenses reconnues comprennent en outre le loyer d’un appartement et les frais accessoires y relatifs; le montant annuel maximal reconnu est de 13'200 francs pour les personnes seules (ch. 2). Sont en outre reconnus comme dépenses, pour toutes les personnes, qu’elles vivent à domicile, en home ou à l’hôpital, les cotisations aux assurances sociales de la Confédération, à l’exclusion des primes d’assurance-maladie (art. 10 al. 3 let. c LPC). b) En vertu de l’art. 11 al. 1 LPC, les revenus déterminants comprennent notamment deux tiers des ressources en espèces ou en nature provenant de l’exercice d’une activité lucrative, pour autant qu’elles excèdent annuellement 1’000 francs pour les personnes seules (let. a); le produit de la fortune mobilière et immobilière (let. b); un quinzième de la fortune nette, un dixième pour les bénéficiaires de rentes de vieillesse, dans la mesure où elle dépasse 37’500 francs pour les personnes seules (let. c); les rentes, pensions et autres prestations périodiques, y compris les rentes de l’AVS et de l’AI (let. d); les ressources et parts de fortune dont un ayant droit s’est dessaisi (let. g). c) A teneur de l'art. 17a OPC-AVS/AI, la part de fortune dessaisie à prendre en compte (art. 11 al. 1 let. g LPC) est réduite chaque année de 10’000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7</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w:t>
      </w:r>
    </w:p>
    <w:p>
      <w:r>
        <w:t>A/2526/2017 - 14/22 - Il y a lieu de prendre en considération dans le revenu déterminant tout dessaisissement sans limite de temps (FERRARI, Dessaisissement volontaire et prestations complémentaires à l'AVS/AI in RSAS 2002, p. 420). D'après la jurisprudence, à la différence de donations ou de jeux d’argents,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des assurances P 55/05 du 26 janvier 2007 consid. 3.2, in SVR 2007 EL n° 6 p. 12; voir également arrêt du Tribunal fédéral 9C_507/2011 du 1er décembre 2011 consid. 5.2).</w:t>
      </w:r>
    </w:p>
    <w:p>
      <w:r>
        <w:rPr>
          <w:b/>
        </w:rPr>
        <w:t>E. 8</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A/2526/2017 - 15/22 -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11</w:t>
      </w:r>
    </w:p>
    <w:p>
      <w:r>
        <w:t>En l’espèce, la recourante a hérité au décès de sa mère, le 28 juin 2005, d’un montant net de CHF 802'702.15, montant qui lui a été versé à raison de CHF 562'500.- en décembre 2007, CHF 95'036.55 en juillet 2007 et CHF 145'165.60 en décembre 2007. Avec ce montant, la recourante a éteint deux dettes, à savoir une dette de l’HG de CHF 36'290.80 remboursée le 1er février 2007 et une dette vis-à-vis de son frère de CHF 52'000.- remboursée vraisemblablement en 2007. N’ayant aucun autre revenu que sa rente AVS mensuelle de CHF 1'805.- versée dès le 1er octobre 2007, elle a prélevé de ses comptes bancaires chaque mois environ CHF 3'000.-, soit CHF 36'000.- annuellement pour faire face à ses dépenses courantes. Ayant investi CHF 462'104.- dans des placements le 28 février 2007, elle a essuyé des pertes, de sorte qu’au 31 décembre 2007, son avoir s’élevait à CHF 411'186.-. Elle a alors vendu son portefeuille et a ouvert un coffre en octobre 2008 dans lequel elle a déposé notamment CHF 300'000.- en espèces avant de les retirer en mai 2009. Selon les taxations fiscales de la recourante, sa fortune a diminué de CHF 248'889.- (548'889 – 300'000) entre le 1er janvier et le 31 décembre 2008. En 2008, elle a donné un montant de CHF 50'000.- à sa nièce et a prêté CHF 50'000.- à sa fille. D’après les justificatifs remis par la recourante, celle-ci a acquis en 2008 diverses œuvres de Robert HAINARD pour un montant de CHF 8'500.- et un manteau de fourrure d’une valeur de CHF 9'780.-. En tenant compte de dépenses annuelles de CHF 36'000.- pour faire face à ses dépenses courantes, de la perte sur placements bancaires de CHF 50'918.- (462'104 – 411'186), des dépenses justifiées par factures pour un montant de CHF 18'280.- (8'500 + 9'780), du prêt de CHF 50'000.- à sa fille et de la donation de CHF 50'000.- à sa nièce, la recourante a dépensé de façon inexpliquée en 2008 un montant de CHF 43'691.-. Il s’agit de déterminer si ce montant constitue un dessaisissement comme le retient l’intimé dans ses décisions ou si ce montant a été dépensé en raison d’un trouble obsessionnel compulsif la poussant à acheter des</w:t>
      </w:r>
    </w:p>
    <w:p>
      <w:r>
        <w:t>A/2526/2017 - 16/22 - bibelots, peluches, poupées en porcelaines, Barbies, parfums, vases, bandes- dessinées, etc. comme le soutient la recourante, ce qui pourrait être de nature à justifier la diminution de fortune.</w:t>
      </w:r>
    </w:p>
    <w:p>
      <w:r>
        <w:rPr>
          <w:b/>
        </w:rPr>
        <w:t>E. 12</w:t>
      </w:r>
    </w:p>
    <w:p>
      <w:r>
        <w:t>Le dessaisissement suppose que l’assuré ait la capacité de discernement s’agissant de la diminution de sa fortune (arrêt du Tribunal fédéral 9C_934/2009 du 28 avril 2010 consid. 5.1). a) Est capable de discernement au sens du droit civil toute personne qui n'est pas privée de la faculté d'agir raisonnablement en raison de son jeune âge, de déficience mentale, de troubles psychiques, d'ivresse ou d'autres causes semblables (art. 16 du Code civil suisse du 10 décembre 1907 [CC - RS 210], dans sa teneur en vigueur depuis le 1er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(arrêt du Tribunal fédéral 4A_421/2016 du 13 décembre 2016 consid. 5.2). b) La capacité de discernement des adultes majeurs est présumée d'après l'expérience générale de la vie (art. 16 CC) et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(arrêt du Tribunal fédéral 5A_859/2014 du</w:t>
      </w:r>
    </w:p>
    <w:p>
      <w:r>
        <w:rPr>
          <w:b/>
        </w:rPr>
        <w:t>E. 17</w:t>
      </w:r>
    </w:p>
    <w:p>
      <w:r>
        <w:t>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w:t>
      </w:r>
    </w:p>
    <w:p>
      <w:r>
        <w:t>A/2526/2017 - 17/22 - est impotente, atteinte dans sa santé physique et temporairement confuse ou souffre uniquement d'absences à la suite d'une attaque cérébrale ou encore est confrontée à des trous de mémoire liés à l'âge (arrêt du Tribunal fédéral 5A_191/2012 du 12 octobre 2012 consid. 4.1.2 et les références). Il en va de même lorsque la personne se voit administrer périodiquement des médicaments et souffre d'une désorientation spatio-temporelle momentanée (arrêt du Tribunal fédéral 5A_12/2009 du 25 mars 2009 consid. 2.3), lorsque, dans un âge avancé, elle est simplement fragile, atteinte dans sa santé physique et temporairement confuse (arrêt du Tribunal fédéral 5C.193/2004 du 17 janvier 2005 consid. 4 in RNRF 87/2006 p. 108 ss), lorsqu'elle souffre d'absences consécutives à une attaque cérébrale (arrêt du Tribunal fédéral 5C.98/2005 du 25 juillet 2005 consid. 2.3.2 in: Pra 96/2007 No 17 p. 97 ss) ou qu'elle est simplement confrontée à des trous de mémoire liés à l'âge (arrêt du Tribunal fédéral 5A_204/2007 du 16 octobre 2007 consid. 5.3 in RNRF 92/2011 p. 30 ss). La présomption d'incapacité liée à un état général d'altération mentale peut néanmoins être renversée en établissant que la personne intéressée a accompli l'acte en question dans un moment de lucidité (ATF 124 III 5 consid. 1b et les références); elle peut également l'être en démontrant que, dans le cas concret, à savoir en fonction de la nature et de l'importance de l'acte déterminé, la personne était en mesure d'agir raisonnablement (caractère relatif de la capacité de discernement; ATF 134 II 235 consid. 4.3.2; arrêt du Tribunal fédéral 5A_951/2016 du 14 septembre 2017 consid. 3.1.3.1). 13. a) En l’espèce, selon les rapports du 29 octobre 2015 de la Dresse C______ et du 15 février 2016 de la Dresse D______, la recourante présente depuis l’âge de vingt ans un trouble bipolaire, épisode actuel hypomane, un trouble obsessionnel compulsif sous forme d’achats compulsifs avec phobie sociale et claustrophobie, ainsi qu’une dépendance aux Benzodiazépines. D’après l’anamnèse, la recourante a organisé sa vie autour de ses angoisses et de ses phobies en créant un univers rassurant pour elle, fait de collections (ours en peluches, poupées, animaux en plastique, figurines, fleurs). Son appartement ressemble à un musée du jouet. L’espace est encombré avec peu de place pour y vivre dénotant une peur du vide, un besoin de remplir. Le fait d’acheter calme ses angoisses. Selon la psychiatre, ces comportements sont caractéristiques de phases maniaques ou hypomaniaques comme on le voit dans les troubles bipolaires. Certains des objets qu’elle a achetés ont un peu de valeur, mais la plupart n’a pas de valeur réelle sauf pour la recourante qui s’est créée un univers enfantin rassurant. Elle n’a pas la capacité de prévoir à long terme et vit dans l’instant présent. Il est vraisemblable qu’elle ait tout dépensé en collections et objets qui pourraient paraître futiles à des personnes équilibrées, mais utiles à ses yeux. b) Selon la CIM-10, le trouble obsessionnel compulsif (F. 42) est caractérisé essentiellement par des idées obsédantes ou des comportements compulsifs récurrents. Les pensées obsédantes sont des idées, des représentations, ou des</w:t>
      </w:r>
    </w:p>
    <w:p>
      <w:r>
        <w:t>A/2526/2017 - 18/22 - impulsions, faisant intrusion dans la conscience du sujet de façon répétitive et stéréotypée. En règle générale, elles gênent considérablement le sujet, lequel essaie souvent de leur résister, mais en vain. Le sujet reconnaît habituellement l'absurdité et l'inutilité de son comportement et fait des efforts répétés pour supprimer celui-ci. Le trouble s'accompagne presque toujours d'une anxiété. Cette anxiété s'aggrave quand le sujet essaie de résister à son activité compulsive. c) Il ressort de ces rapports médicaux que la recourante présente des troubles psychiques qui altèrent sa capacité d'apprécier l'opportunité de ses achats au regard de sa situation financière et leurs effets sur l’état de sa fortune puisqu’elle n’a pas la capacité de prévoir à long terme. Par ailleurs, au vu du diagnostic posé, la recourante n’a pas la capacité d’agir selon sa libre volonté puisque lesdits achats calment ses angoisses en créant un univers rassurant pour elle, bien qu’ils apparaissent déraisonnables pour des personnes équilibrées, et qu’elle n’est pas en mesure de résister à ses pensées obsédantes, à moins de provoquer une aggravation de son anxiété. Par conséquent, il est établi qu’au moment desdits achats, la recourante était privée de la capacité d’agir raisonnablement en raison de ses troubles psychiques, respectivement était incapable de discernement, de sorte qu’il n’y a pas lieu de retenir de dessaisissement. En revanche, la donation par la recourante de CHF 50'000.- à sa nièce en 2008 a été gérée par sa fille, soit par une personne ayant une pleine capacité de discernement, de sorte qu’un dessaisissement doit être admis, mais n’a toutefois pas d’incidence dans le calcul des revenus de la recourante. En effet, la part de fortune dessaisie bénéfice d’une réduction annuelle de CHF 10'000.- prévue par l’art. 17a OPC- AVS/AI, de sorte qu’elle est nulle à partir du 1er janvier 2013 et a fortiori en date du 1er juin 2015. En définitive, dans le calcul du droit aux prestations complémentaires dès le 1er juin 2015, respectivement dans le revenu déterminant, l’intimé ne pouvait pas tenir compte d’un dessaisissement et d’un produit hypothétique des biens dessaisis. Par conséquent, les décisions des 16 octobre 2015, 15 février 2017 et 9 mai 2017 doivent être annulées et, sans préjuger de toutes les conditions dont dépend le droit aux prestations complémentaires, le dossier doit être renvoyé à l’intimé pour qu'il statue à nouveau sur le droit de la recourante auxdites prestations dès le 1er juin 2015 au sens des considérants. 14. L’intimé relève qu’au cas où la chambre de céans devrait admettre l’absence de dessaisissement, il y a lieu d’examiner la prise en compte dans la fortune de la collection d’objets inventoriée par la recourante. a) Selon l’art. 17 al. 1 OPC-AVS/AI, la fortune prise en compte doit être évaluée selon les règles de la législation sur l’impôt cantonal direct du canton du domicile. En règle générale, sont pris en compte pour le calcul de la prestation complémentaire annuelle les revenus déterminants obtenus au cours de l'année civile précédente et l'état de la fortune le 1er janvier de l'année pour laquelle la</w:t>
      </w:r>
    </w:p>
    <w:p>
      <w:r>
        <w:t>A/2526/2017 - 19/22 - prestation est servie; peut également entrer en considération comme période de calcul celle sur laquelle se fonde la dernière taxation fiscale (art. 23 al. 1 et 2 OPC- AVS/AI). En vertu de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 Selon l’art. 49 LIPP, l'état de la fortune mobilière et immobilière est établi au 31 décembre de l'année pour laquelle l'impôt est dû (al. 1). La fortune est estimée, en général, à la valeur vénale (al. 2). b) Le chiffre 3444.01 des directives de l’Office fédéral des assurances sociales concernant les prestations complémentaires à l’AVS et à l’AI (DPC), dans sa teneur en vigueur au 1er janvier 2015, précise au sujet de l’estimation de la fortune qu’est déterminante la valeur de la fortune retenue par le fisc avant la déduction des montants exempts d’impôt. D'après la jurisprudence, toute taxation fiscale est présumée conforme à la réalité; cette présomption ne peut être infirmée que par des faits. Le juge des assurances sociales ne saurait s'écarter des décisions de taxation entrées en force que si celles- 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ATF 106 V 130 consid. 1; ATF 102 V 30 consid. 3a; arrêt du Tribunal fédéral 9C_253/2014 du 28 juillet 2014 consid. 6.3.1). 15. a) En l’espèce, étant donné que le dossier est renvoyé à l’intimé pour nouveau calcul du droit aux prestations dès le 1er juin 2015, il lui appartiendra d’examiner cette question à ce moment-là. En effet, au vu des divers justificatifs de dépenses produits par la recourante, il apparaît qu’elle possède divers objets ayant une valeur marchande, à savoir les deux bronzes achetés à raison de CHF 5'000.- le 4 mai 2007, ainsi que les diverses œuvres de Robert HAINARD achetées entre le 21 avril et le 8 mai 2008 pour un montant total de CHF 14’500.-. Selon l’estimatif du</w:t>
      </w:r>
    </w:p>
    <w:p>
      <w:r>
        <w:rPr>
          <w:b/>
        </w:rPr>
        <w:t>E. 22</w:t>
      </w:r>
    </w:p>
    <w:p>
      <w:r>
        <w:t>décembre 2016, la recourante chiffre sa collection à CHF 109'450.-, soit un montant qui semble plutôt être l’addition du prix payé pour ses divers achats que la valeur marchande de ceux-ci. Il est possible que les diverses collections de bibelots (ours en peluche, Barbies, etc.) aient également une valeur marchande, mais il</w:t>
      </w:r>
    </w:p>
    <w:p>
      <w:r>
        <w:t>A/2526/2017 - 20/22 - n’existe aucune estimation de la valeur de ces collections et de ces œuvres d’art, de sorte que la chambre de céans n’a pas les éléments nécessaires pour trancher cette question. Au demeurant, étant donné que la taxation 2015 mentionne une fortune mobilière de CHF 62.- qui concerne exclusivement les comptes bancaires de la recourante et qu’une telle déclaration fiscale fait foi pour établir la fortune des bénéficiaires des prestations complémentaires, il est peu vraisemblable que ces collections aient une valeur vénale.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arrêt du Tribunal fédéral des assurances P 29/02 du 10 décembre 2002 consid. 1). Au vu de ce qui précède, dans le cadre du nouveau calcul du droit aux prestations dès le 1er juin 2015, il appartiendra à l’intimé d’impartir un délai à la recourante pour faire estimer la valeur marchande de sa collection auprès de spécialistes en la matière. b) S’agissant de la fortune mobilière prise en considération dans le calcul du droit aux prestations de la recourante, selon la taxation fiscale 2014, ladite fortune pour l’année 2014 s’élève à CHF 9'314.- et, selon la taxation fiscale 2015, à CHF 62.- pour l’année 2015. Par conséquent, l’intimé a tenu compte, à tort, dans ses calculs d’une fortune sous forme d’épargne de CHF 11'314.55 du 1er juin au 31 octobre 2015, respectivement de CHF 2'062.15 du 1er juillet 2016 au 28 février 2017. Dès lors, la décision du 16 octobre 2015, celle du 15 février 2017 et la décision sur opposition du 9 mai 2017 doivent également être annulées pour ce motif. 16. La recourante requiert sa comparution personnelle.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de la Convention de sauvegarde des droits de l’homme et des libertés fondamentales du 4 novembre 1950 (CEDH - RS 0.101), lorsque la procédure</w:t>
      </w:r>
    </w:p>
    <w:p>
      <w:r>
        <w:t>A/2526/2017 - 21/22 -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arrêt du Tribunal fédéral 9C_198/2011 du 11 novembre 2011 consid. 2.1). En l’espèce, la comparution personnelle de la recourante a pour but d’établir l’absence de dessaisissement, respectivement son incapacité de discernement lors des achats compulsifs. Etant donné que la chambre de céans admet l’absence de dessaisissement, il n’y a pas lieu de procéder aux actes d’instruction requis par la recourante dès lors qu’ils ne sont pas susceptibles de modifier l’issue du litige. Par ailleurs, la recourante ne formule pas une demande tendant à la mise en œuvre de débats publics, mais sollicite son audition, ce qui correspond à une requête de preuve (demande tendant à la comparution personnelle et à l'audition de témoins). Conformément à la jurisprudence rappelée ci-dessus, une telle demande ne suffit pas à fonder une obligation d'organiser des débats publics au sens des art. 30 al. 3 Cst. et 6 § 1 CEDH. 17. Le recours est partiellement admis au sens des considérants et les décisions des 16 octobre 2015, 15 février 2017 ainsi que du 9 mai 2017 sont annulées. Obtenant gain de cause et étant représentée, la recourante a droit à une indemnité de CHF 2’000.- à titre de participation à ses frais et dépens (art. 61 let. g LPGA; art. 6 RFPA). Au surplus, la procédure est gratuite (art. 61 let. a LPGA).</w:t>
      </w:r>
    </w:p>
    <w:p>
      <w:r>
        <w:t>A/2526/2017 - 22/22 -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