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ATAS/1437/2008 vom 2. Dezember 2008</w:t>
      </w:r>
    </w:p>
    <w:p>
      <w:r>
        <w:t>GE Cour de justice, 2008-12-02, FR</w:t>
      </w:r>
    </w:p>
    <w:p>
      <w:r>
        <w:rPr>
          <w:b/>
        </w:rPr>
        <w:t xml:space="preserve">Quelle: </w:t>
      </w:r>
      <w:r>
        <w:t>https://mcp.opencaselaw.ch/entscheid/ge_gerichte_ATAS_1437_2008</w:t>
      </w:r>
    </w:p>
    <w:p>
      <w:r>
        <w:t>FR: GE_GERICHTE ATAS/1437/2008 du 2 décembre 2008</w:t>
      </w:r>
    </w:p>
    <w:p>
      <w:r>
        <w:t>IT: GE_GERICHTE ATAS/1437/2008 del 2 dicembre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droit de l'assuré à des mesures de reclassement et à l'octroi d'une rente.</w:t>
      </w:r>
    </w:p>
    <w:p>
      <w:r>
        <w:rPr>
          <w:b/>
        </w:rPr>
        <w:t>E. 5</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298 consid. 4c in fine).</w:t>
      </w:r>
    </w:p>
    <w:p>
      <w:r>
        <w:t>A/773/2008 - 6/9 -</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la jurisprudence citée).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 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t>A/773/2008 - 7/9 - Il convient également de rappeler que, pour ce qui concerne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8</w:t>
      </w:r>
    </w:p>
    <w:p>
      <w:r>
        <w:t>En l'espèce, il n'est pas contesté que l'assuré ne puisse plus exercer son activité de cuisinier. L'OCAI a en revanche considéré que dans une activité se déroulant dans un milieu calme, n'exigeant pas d'effort physique important, et dans laquelle les positions assise/debout pouvaient être alternées, il conservait une capacité de travail entière, compte tenu d'une diminution de rendement de 20%. C'est sur cette base que le degré d'invalidité a été fixé à 4,8%. L'assuré conteste les conclusions de l'OCAI, estimant qu'il ne peut plus travailler même dans une activité adaptée. Il y a toutefois lieu de constater que selon le Dr B___________, en 2005, l'assuré pouvait occuper un emploi dans un milieu calme et sans effort physique. En décembre 2006, le médecin a certes relevé une aggravation de l'état depuis six mois, mais a précisé que le diabète était mieux équilibré et n'a pas modifié ses conclusions quant à la capacité de travail. L'assuré reproche à l'OCAI de s'être fondé sur des rapports médicaux trop anciens et peu approfondis. Il n'allègue toutefois pas que son état de santé se soit modifié depuis, à l'exception d'une dépression dont il fait état dans son recours. Le Tribunal de céans constate à cet égard que l'assuré n'a consulté qu'une seule fois le Dr G___________ et uniquement dans le cadre de la présente procédure. Le médecin du reste constate de l'anxiété et un trouble thymique, ce qui ne saurait être suffisant pour justifier l'octroi de prestations AI. Les douleurs dont souffre l'assuré, et qu'il n'est au demeurant pas question de nier, ont par ailleurs été prises en considération, puisqu'une diminution de rendement a été admise à hauteur de 20%. Reste à préciser que l'on n'est pas en présence d'un cas d'invalidité, lorsque l'incapacité de gain n'a pas été provoquée par une atteinte à la santé mais par d'autres facteurs (causes étrangères à l'invalidité, voir RCC 1989 p. 322), notamment pour des raisons inhérentes à la personnalité de la personne assurée, par exemple un manque d'ardeur au travail (RCC 1964 p. 278), une formation insuffisante (RCC 1989 p. 322, 1980 p. 260), des connaissances linguistiques limitées ou l'âge (Circulaire concernant l'invalidité et l'impotence de l'assurance- invalidité, chiffre 1026).</w:t>
      </w:r>
    </w:p>
    <w:p>
      <w:r>
        <w:t>A/773/2008 - 8/9 - Le degré d'invalidité de 4,8% doit en conséquence être confirmé. Force est de constater que ce degré n'est pas suffisant pour ouvrir droit ni à des mesures de réadaptation professionnelles, pour lesquelles le seuil minimum fixé par la jurisprudence est une diminution de la capacité de gain de 20% environ (ATF 124 V 110 consid. 2b), ni à une rente d'invalidité (art. 28 LAI). Aussi, le recours, mal fondé, doit-il être rejeté.</w:t>
      </w:r>
    </w:p>
    <w:p>
      <w:r>
        <w:t>A/773/2008 - 9/9 -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