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ATAS/1436/2009 vom 12. November 2009</w:t>
      </w:r>
    </w:p>
    <w:p>
      <w:r>
        <w:t>GE Cour de justice, 2009-11-12, FR</w:t>
      </w:r>
    </w:p>
    <w:p>
      <w:r>
        <w:rPr>
          <w:b/>
        </w:rPr>
        <w:t xml:space="preserve">Quelle: </w:t>
      </w:r>
      <w:r>
        <w:t>https://mcp.opencaselaw.ch/entscheid/ge_gerichte_ATAS_1436_2009</w:t>
      </w:r>
    </w:p>
    <w:p>
      <w:r>
        <w:t>FR: GE_GERICHTE ATAS/1436/2009 du 12 novembre 2009</w:t>
      </w:r>
    </w:p>
    <w:p>
      <w:r>
        <w:t>IT: GE_GERICHTE ATAS/1436/2009 del 12 novembre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w:t>
      </w:r>
    </w:p>
    <w:p>
      <w:r>
        <w:t>A/1049/2009 - 6/11 -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des nouvelles normes de la LPGA et des modifications de la LAI consécutives à la 4ème révision de cette loi, dans la mesure de leur pertinence (ATF 130 V 445 et les références; voir également ATF 130 V 329).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les atteintes à la santé de la recourante entraînent une perte de gain susceptible de lui ouvrir droit à des prestations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Ainsi le taux d'invalidité ne se confond pas nécessairement avec le taux d'incapacité</w:t>
      </w:r>
    </w:p>
    <w:p>
      <w:r>
        <w:t>A/1049/2009 - 7/11 - fonctionnelle déterminé par le médecin; ce sont les conséquences économiques objectives de l'incapacité fonctionnelle qu'il importe d'évaluer (ATF 110 V 275 consid. 4a).</w:t>
      </w:r>
    </w:p>
    <w:p>
      <w:r>
        <w:rPr>
          <w:b/>
        </w:rPr>
        <w:t>E. 6</w:t>
      </w:r>
    </w:p>
    <w:p>
      <w:r>
        <w:t>Les atteintes à la santé psychique peuvent, comme les atteintes physiques, entraîner une invalidité au sens de l'art. 4 al. 1 LAI en liaison avec l'art. 8 LPGA. Parmi les atteintes à la santé psychique pouvant provoquer une telle invalidité, il faut mentionner - outre les affections mentales proprement dites - les anomalies psychiques équivalant à des maladies, étant précisé que l’on ne considère pas comme des conséquences d’un état psychique maladif - donc pas comme des affections à prendre en charge par l’assurance-invalidité -, les diminutions de la capacité de gain que l’assuré pourrait empêcher en faisant preuve de bonne volonté. La mesure de ce qui est exigible doit être définie aussi objectivement que possible. Il convient donc de déterminer si et dans quelle mesure un assuré peut, compte tenu de ses aptitudes et malgré l’atteinte à sa santé mentale, exercer une activité que lui offre un marché du travail équilibré.</w:t>
      </w:r>
    </w:p>
    <w:p>
      <w:r>
        <w:rPr>
          <w:b/>
        </w:rPr>
        <w:t>E. 7</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w:t>
      </w:r>
    </w:p>
    <w:p>
      <w:r>
        <w:t>A/1049/2009 - 8/11 - MORGER, Unfallmedizinische Begutachtung in der SUVA, in Revue Suisse des assurances sociales [RSAS] 32/1988 p. 332ss.). c)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w:t>
      </w:r>
    </w:p>
    <w:p>
      <w:r>
        <w:t>A/1049/2009 - 9/11 -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Lorsqu’il apparaît que l’existence de l’atteinte à la santé doit être attribuée à des problèmes d’ordre familial, professionnel et socio-culturel, elle ne relève en principe pas de l’assurance-invalidité, à moins que ne soit mis en évidence un substrat médical pertinent entravant la capacité de travail et de gain de manière importante. Le TFA a ainsi estimé que lorsque le tableau clinique comporte des éléments convaincants autres que les facteurs socio-culturels, comme un trouble dépressif et de probables symptômes de conversion, par exemple, et qu’il ressort en termes clairs de l’expertise que la diminution de la capacité de travail s’explique par le seul diagnostic médical, il se justifie de retenir l’incapacité de travail en suivant l’avis de l’expert psychiatre quelles que soient en définitive les causes de l’atteinte à la santé psychique, dès lors que celle-ci entraîne une incapacité de travail indépendamment de son origine (ATF I 382/03 du 21 janvier 2004 consid. 5).</w:t>
      </w:r>
    </w:p>
    <w:p>
      <w:r>
        <w:rPr>
          <w:b/>
        </w:rPr>
        <w:t>E. 8</w:t>
      </w:r>
    </w:p>
    <w:p>
      <w:r>
        <w:t>En l’espèce, la recourante fait grief à l'administration d'avoir fondé son appréciation de sa capacité de travail sur le rapport du Dr N__________, dont les conclusions ne sont pas partagées par la Dresse L__________. Le Tribunal de céans ne saurait suivre l’argumentation de la recourante pour les motifs suivants. Le rapport d’expertise du Dr N__________ se fonde sur une anamnèse détaillée, un examen clinique de la recourante et tient compte des plaintes rapportées par cette dernière. Il a été établi en pleine connaissance du dossier et ses conclusions, dûment motivées, ne laissent pas apparaître de contradiction. En particulier, l’expert a expliqué les raisons pour lesquelles il a considéré que l’épisode dépressif survenu dans le contexte de difficultés psychosociales était désormais entièrement compensé et n’avait plus d'influence sur la capacité de travail : il n’a observé aucun trouble de la concentration, de l'attention, de la mémoire ou de la pensée; il a indiqué qu’il n’y avait pas non plus d'abaissement de l'humeur au sens de la CIM- 10, mais plutôt une certaine morosité et des fluctuations euthymiques; il a également exclu la présence d’une diminution constante et marquée de l'intérêt et du plaisir, expliquant que l'assurée conservait divers intérêts et activités; l’expert a admis la présence d’une certaine perte de l'estime de soi, mais exclu l'existence d'une culpabilité excessive ou inappropriée, les pensées récurrentes de mort, la diminution de l'aptitude à penser ou à se concentrer ou la diminution de l'appétit, car bien que l’assurée affirme ne pas avoir d’appétit, une prise de poids importante</w:t>
      </w:r>
    </w:p>
    <w:p>
      <w:r>
        <w:t>A/1049/2009 - 10/11 - (dix kilos) plaidait le contraire; un très léger ralentissement et quelques perturbations du sommeil ont été notées, mais plutôt dans le sens d'un décalage du rythme. Bien motivé, le rapport de l’expert doit se voir reconnaître pleine valeur probante. Il y a lieu de rappeler, au surplus, qu’au vu de la divergence consacrée par la jurisprudence entre un mandat de soins et un mandat d’expertise (cf. arrêt du Tribunal fédéral du 5 janvier 2003, I 701/05, consid. 2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Cette hypothèse n’est cependant pas réalisée en l’espèce. En effet, la Dresse Q__________ se contente, dans son rapport du 18 mars 2009, de préciser que la recourante est suivie par le programme dépression depuis octobre 2004 et qu’une prise en charge demeure nécessaire, sans se prononcer aucunement sur les symptômes qui lui permettent d’arriver à cette conclusion ou encore sur la capacité de travail de la patiente. Cet avis ne saurait dès lors justifier que l’on s’écarte des conclusions détaillées de l’expert. Il en va de même des derniers certificats produits. Il sied d’ailleurs de relever que celui établi par la Dresse Q__________ en date du 3 mars 2009, conclut même à une reprise du travail à plein temps à compter du 1er février 2009, reprise du travail confirmée pour le 1er mars 2009. Certes, le certificat médical établi en date du 30 mars 2009 par le Dr R__________ et concluant à un arrêt de travail à 100% à compter du 1er avril 2009 donne à penser que la Dresse Q__________ a commis une erreur mais il n’en demeure pas moins que, là encore, aucun élément n’est soulevé à l’appui de l’affirmation selon laquelle l’assurée serait totalement incapable de travailler qui permettrait de remettre en cause le rapport clair et probant de l’expert. On retiendra donc que, sur le plan psychique, la recourante a recouvré une capacité de travail entière dès le 11 août 2006, soit deux ans après le début de l’incapacité de travail. Force est cependant de constater que l’intimé a omis d’appliquer l’art. 88a al. 1 RAI, lequel prévoit que si la capacité de gain s’améliore au point de supprimer le droit aux prestation, ce changement doit avoir duré trois mois. En conséquence, le recours est très partiellement admis en ce sens que la suppression du droit à la rente est reportée au 30 novembre 2006. La décision litigieuse est confirmée pour le surplus.</w:t>
      </w:r>
    </w:p>
    <w:p>
      <w:r>
        <w:t>A/1049/2009 - 11/11 -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