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ATAS/1435/2009 vom 12. November 2009</w:t>
      </w:r>
    </w:p>
    <w:p>
      <w:r>
        <w:t>GE Cour de justice, 2009-11-12, FR</w:t>
      </w:r>
    </w:p>
    <w:p>
      <w:r>
        <w:rPr>
          <w:b/>
        </w:rPr>
        <w:t xml:space="preserve">Quelle: </w:t>
      </w:r>
      <w:r>
        <w:t>https://mcp.opencaselaw.ch/entscheid/ge_gerichte_ATAS_1435_2009</w:t>
      </w:r>
    </w:p>
    <w:p>
      <w:r>
        <w:t>FR: GE_GERICHTE ATAS/1435/2009 du 12 novembre 2009</w:t>
      </w:r>
    </w:p>
    <w:p>
      <w:r>
        <w:t>IT: GE_GERICHTE ATAS/1435/2009 del 12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 tives à la loi fédérale sur l’assurance-invalidité du 19 juin 1959 (LAI; RS 831.20). En dérogation aux art. 52 et 58 LPGA, les décisions des offices AI cantonaux peu- vent directement faire l’objet d’un recours devant le tribunal des assurances du do- 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 ment où les faits juridiquement déterminants se sont produits et le juge des assuran- ces sociales se fonde en principe, pour apprécier une cause, sur l'état de fait réalisé à la date déterminante de la décision sur opposition litigieuse (ATF 129 V 1,</w:t>
      </w:r>
    </w:p>
    <w:p>
      <w:r>
        <w:t>A/906/2009 - 6/11 -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 rale sur l'assurance-invalidité du 21 mars 2003 (4ème révision). Par conséquent, du point de vue matériel, le droit éventuel à une rente d'invalidité doit être examiné au regard des nouvelles normes de la LPGA et des modifications de la LAI consécuti- ves à la 4ème révision de cette loi, dans la mesure de leur pertinence (ATF 130 V 445 et les références; voir également ATF 130 V 329). Par ailleurs, la loi fédérale du 16 décembre 2005 modifiant la loi fédérale sur l'assu- rance-invalidité est entrée en vigueur le 1er juillet 2006 (RO 2006 2003), apportant des modifications qui concernent notamment la procédure conduite devant le Tri- bunal cantonal des assurances (art. 52, 58 et 61 let. a LPGA). Le présent cas est soumis au nouveau droit, dès lors que le recours de droit administratif a été formé après le 1er juillet 2006 (ch. II let. c des dispositions transitoires relatives à la modi- fication du 16 décembre 2005).</w:t>
      </w:r>
    </w:p>
    <w:p>
      <w:r>
        <w:rPr>
          <w:b/>
        </w:rPr>
        <w:t>E. 3</w:t>
      </w:r>
    </w:p>
    <w:p>
      <w:r>
        <w:t>Interjeté dans les forme et délai légaux (art. 56 à 60 LPGA), le recours est receva- 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a) Est réputée invalidité l'incapacité de gain totale ou partielle présumée perma- 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 dité ne se confond pas nécessairement avec le taux d'incapacité fonctionnelle dé- terminé par le médecin; ce sont les conséquences économiques objectives de l'inca- pacité fonctionnelle qu'il importe d'évaluer (ATF 110 V 275 consid. 4a).</w:t>
      </w:r>
    </w:p>
    <w:p>
      <w:r>
        <w:t>A/906/2009 - 7/11 - b) Pour pouvoir calculer le degré d'invalidité, l'administration (ou le juge, s'il y a eu recours) a besoin de documents que le médecin, éventuellement aussi d'autres spé- 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 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 tion, sous la forme d’un rapport ou d’une expertise, mais bel et bien son contenu (ATF 122 V 160 consid. 1c; Omlin, Die Invaliditätsbemessung in der obligatoris- 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 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 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w:t>
      </w:r>
    </w:p>
    <w:p>
      <w:r>
        <w:t>A/906/2009 - 8/11 - 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 ciales, il y a lieu toutefois de poser des exigences sévères quant à l'impartialité de l'expert (ATF 125 V 353 consid. 3b/ee, ATFA non publié du 13 mars 2000, I 592/99, consid. b/ee).</w:t>
      </w:r>
    </w:p>
    <w:p>
      <w:r>
        <w:rPr>
          <w:b/>
        </w:rPr>
        <w:t>E. 6</w:t>
      </w:r>
    </w:p>
    <w:p>
      <w:r>
        <w:t>Le recourant fait grief à l'administration d'avoir retenu qu’il pourrait exercer à plein temps une activité adaptée.</w:t>
      </w:r>
    </w:p>
    <w:p>
      <w:r>
        <w:rPr>
          <w:b/>
        </w:rPr>
        <w:t>E. 7</w:t>
      </w:r>
    </w:p>
    <w:p>
      <w:r>
        <w:t>Force est cependant de constater que tant le Dr A__________, que le Dr B__________ ou encore la Clinique romande de réadaptation sont unanimement ar- rivés à la conclusion que l’assuré pourrait exercer une activité adaptée, décrite comme s’exerçant principalement en position assise, permettant d’alterner les posi- tions, d’éviter le port de charges, les efforts importants, la position accroupie, et la montée d’escaliers. On retiendra donc que, sur le plan somatique, le recourant a conservé une capacité de travail entière dans une activité adaptée.</w:t>
      </w:r>
    </w:p>
    <w:p>
      <w:r>
        <w:rPr>
          <w:b/>
        </w:rPr>
        <w:t>E. 8</w:t>
      </w:r>
    </w:p>
    <w:p>
      <w:r>
        <w:t>Il convient à présent de se prononcer sur le calcul du taux d'invalidité effectué par l'OCAI. a) Conformément à l'art. 28 al. 1 LAI, l'assuré a droit à un quart de rente s'il est in- valide à 40% au moins, à une demi-rente s’il est invalide à 50%, à un trois-quart de rente si son invalidité atteint au moins 60% et à une rente entière si son degré d’invalidité atteint 70%. Chez les assurés actifs, le degré d'invalidité doit être évalué sur la base d'une com- paraison des revenus. Pour cela, le revenu que l'assuré aurait pu obtenir s'il n'était pas invalide est comparé avec celui qu'il pourrait obtenir en exerçant l'activité qui peut raisonnablement être exigée de lui après les traitements et les mesures de ré- adaptation, sur un marché du travail équilibré. La comparaison des revenus s'effec- tue, en règle ordinaire, en chiffrant aussi exactement que possible les montants de ces deux revenus et en les confrontant l'un avec l'autre, la différence permettant de</w:t>
      </w:r>
    </w:p>
    <w:p>
      <w:r>
        <w:t>A/906/2009 - 9/11 - calculer le taux d'invalidité (méthode générale de comparaison des revenus; ATF 130 V 348 consid. 3.4, 128 V 30 consid. 1, 104 V 136 consid. 2a et 2b; art. 28 al. 2 LAI en corrélation avec l'art. 16 LPGA). Pour procéder à la comparaison des reve- nus, il convient de se placer au moment de la naissance du droit à la rente; les reve- nus avec et sans invalidité doivent être déterminés par rapport à un même moment et les modifications de ces revenus susceptibles d'influencer le droit à la rente, sur- venues jusqu'au moment où la décision est rendue, doivent être prises en compte (ATF 129 V 223 consid. 4.1, 128 V 174). Le revenu d'invalide doit être évalué avant tout en fonction de la situation profes- 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 sionnelles du cas particulier (limitations liées au handicap, âge, années de service, nationalité/catégorie d'autorisation de séjour et taux d'occupation) et résulte d'une évaluation dans les limites du pouvoir d'appréciation. Une déduction globale maxi- mum de 25 % sur le salaire statistique permet de tenir compte des différents élé- ments qui peuvent influencer le revenu d'une activité lucrative (cf. ATF 126 V 78 consid. 5). Le revenu de la personne valide se détermine en établissant au degré de la vraisem- blance prépondérante ce qu'elle aurait effectivement pu réaliser au moment déter- minant si elle avait été en bonne santé (ATF 129 V 224 consid. 4.3.1 et la réfé- 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l’intimé a retenu à titre de revenu avant invalidité celui que réalisait l’assuré au moment de son accident, soit 45'307 fr. Ce montant n’étant pas contesté par le recourant, il n’y a pas lieu de s’en écarter. Quant au revenu d’invalide, en l’absence de reprise d’activité, il convient de se ré- férer aux salaires statistiques tels qu’ils découlent de l’Enquête suisse sur la struc- ture des salaires éditée par l’Office fédéral de la statistique (ESS). Ainsi que cela a</w:t>
      </w:r>
    </w:p>
    <w:p>
      <w:r>
        <w:t>A/906/2009 - 10/11 - été dit supra, l’assuré pourrait exercer à plein temps une activité adaptée. L’intéressé n’a par ailleurs pas de formation spécifique. Au regard du large éventail d'activités simples et répétitives offertes par les secteurs de la production et des ser- vices, on doit convenir qu'un marché du travail équilibré offre un nombre significa- tif de postes de travail légers n'exigeant ni port de charges lourdes, ni travail en po- sition accroupie et pouvant être occupés sans difficulté particulière par une per- sonne atteinte d'une affection aux genoux. Selon les données de l'ESS 2006, le re- venu mensuel standardisé d'un homme exerçant une activité simple et répétitive s'élevait, tous domaines confondus, à 4’732 fr. par mois (valeur médiane). Ce sa- laire hypothétique doit être rectifié pour tenir compte du fait que les salaires bruts standardisés sont calculés sur la base d’un horaire de travail de 40 h./sem., soit une durée hebdomadaire inférieure à la moyenne usuelle dans les entreprises (41,7 h./sem.; pour 1998 : La Vie économique, 4-2002 p. 86, tabelle B 9.2 pour 2001: cf. La Vie économique 12/2001 table B 9.2 p. 80). On obtient dès lors, pour un horaire de travail moyen de 41,7 heures (cf. ATF 126 V 81 consid. 7a), un salaire annuel brut, en 2006, de 59'197 fr. 30. Ainsi que le fait remarquer à juste titre l’intimé, les griefs évoqués concernant la récession en cours ne sauraient relever de l’assurance- invalidité. En admettant même que l’on applique la réduction maximale prévue, à savoir 25% - ce qui n’a au demeurant pas lieu d’être -, on obtiendrait un degré d’invalidité de 2,05%, insuffisant pour ouvrir droit à des prestations de l’assurance-invalidité, étant rappelé que même le droit au reclassement suppose que l'assuré soit invalide ou menacé d'une invalidité imminente (art. 8 al. 1 première phrase LAI) et que le seuil minimum fixé par la jurisprudence pour ouvrir droit à une mesure de reclassement est une diminution de la capacité de gain de 20 % environ (ATF 124 V 110 consid. 2b et les références). Eu égard aux considérations qui précèdent, le recours est rejeté.</w:t>
      </w:r>
    </w:p>
    <w:p>
      <w:r>
        <w:t>A/906/2009 - 11/11 -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