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ATAS/1431/2009 vom 12. November 2009</w:t>
      </w:r>
    </w:p>
    <w:p>
      <w:r>
        <w:t>GE Cour de justice, 2009-11-12, FR</w:t>
      </w:r>
    </w:p>
    <w:p>
      <w:r>
        <w:rPr>
          <w:b/>
        </w:rPr>
        <w:t xml:space="preserve">Quelle: </w:t>
      </w:r>
      <w:r>
        <w:t>https://mcp.opencaselaw.ch/entscheid/ge_gerichte_ATAS_1431_2009</w:t>
      </w:r>
    </w:p>
    <w:p>
      <w:r>
        <w:t>FR: GE_GERICHTE ATAS/1431/2009 du 12 novembre 2009</w:t>
      </w:r>
    </w:p>
    <w:p>
      <w:r>
        <w:t>IT: GE_GERICHTE ATAS/1431/2009 del 12 novembre 2009</w:t>
      </w:r>
    </w:p>
    <w:p>
      <w:pPr>
        <w:pStyle w:val="Heading2"/>
      </w:pPr>
      <w:r>
        <w:t>Erwägungen</w:t>
      </w:r>
    </w:p>
    <w:p>
      <w:r>
        <w:rPr>
          <w:b/>
        </w:rPr>
        <w:t>E. 1</w:t>
      </w:r>
    </w:p>
    <w:p>
      <w:r>
        <w:t>Conformément à l'art. 56V al. 1 let. a ch. 8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t>A/1643/2009 - 7/9 -</w:t>
      </w:r>
    </w:p>
    <w:p>
      <w:r>
        <w:rPr>
          <w:b/>
        </w:rPr>
        <w:t>E. 2</w:t>
      </w:r>
    </w:p>
    <w:p>
      <w:r>
        <w:t>Interjeté dans les forme et délai prescrits par la loi, le recours est recevable (art. 56 et 60 LPGA).</w:t>
      </w:r>
    </w:p>
    <w:p>
      <w:r>
        <w:rPr>
          <w:b/>
        </w:rPr>
        <w:t>E. 3</w:t>
      </w:r>
    </w:p>
    <w:p>
      <w:r>
        <w:t>L’intimé ayant reconnu l’aptitude au placement de la recourante, le litige ne porte plus que sur l'invitation faite à la caisse de chômage de fixer un gain intermédiaire correspondant à un plein temps pour la période du 1er mai au 31 décembre 2007, en d’autres termes, sur la question de savoir s’il se justifie de retenir un gain intermédiaire pour cette période et, dans l’affirmative, si ce gain doit correspondre à un plein temps.</w:t>
      </w:r>
    </w:p>
    <w:p>
      <w:r>
        <w:rPr>
          <w:b/>
        </w:rPr>
        <w:t>E. 4</w:t>
      </w:r>
    </w:p>
    <w:p>
      <w:r>
        <w:t>Selon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relatif au montant de l’indemnité journalière. Est réputée perte de gain la différence entre le gain assuré et le gain intermédiaire, ce dernier devant être conforme, pour le travail effectué, aux usages professionnels et locaux (art. 24 al. 3 LACI). Lorsque l'assuré réalise un revenu inférieur à son indemnité de chômage, il a droit à des indemnités compensatoires pendant le délai-cadre d'indemnisation (art. 41 a al. 1 OACI). La réglementation sur la compensation de la différence entre le gain assuré et le gain intermédiaire (art. 24 LACI) est une norme de calcul des indemnités de chômage au sens des art. 8ss LACI (ATF 121 V 339 consid. 2b et 2c).</w:t>
      </w:r>
    </w:p>
    <w:p>
      <w:r>
        <w:rPr>
          <w:b/>
        </w:rPr>
        <w:t>E. 5</w:t>
      </w:r>
    </w:p>
    <w:p>
      <w:r>
        <w:t>En l’occurrence, l’intimé a estimé qu’il se justifiait de fixer un gain intermédiaire conforme aux usages professionnels pour l'activité non rémunérée que l'intéressée avait déployée à plein temps dans le restaurant de son époux, du 1er mai au 31 décembre 2007. En substance, l’intimé a considéré que, dans la mesure où il s’avérait impossible de déterminer avec exactitude l'horaire de travail que l’intéressée avait assuré chaque jour durant cette période, peu importait le fait qu’elle ait par exemple participé à un atelier d’apprentissage du français du 25 juillet au 14 septembre 2007 à raison de quatre jours par semaine, il n’en demeurait pas moins que l’activité déployée dans le restaurant de son époux devait être prise en considération et évaluée sur la base des horaires d'ouverture indiquées, ce qui correspondait à un horaire à plein temps de neuf heures par jour, puisque la société n'avait engagé aucun employé durant la période de mai à décembre 2007. Le Tribunal ne saurait suivre l’intimé dans son raisonnement. En effet, les enquêtes ont démontré que, depuis 2004 déjà, l’époux de l’assuré n’a plus fait appel à aucune aide extérieure. Cela rejoint d’ailleurs les dires de la recourante, selon laquelle son aide ponctuelle est antérieure à sa perte d’emploi. Partant, force serait de considérer l’aide apportée par la recourante à son époux comme une activité accessoire, étant</w:t>
      </w:r>
    </w:p>
    <w:p>
      <w:r>
        <w:t>A/1643/2009 - 8/9 - rappelé qu’un gain accessoire n’est pas assuré et ne devient pas un gain intermédiaire pendant le chômage, hormis si l’assuré l’étend alors, et seulement pour la part supplémentaire (cf. Circulaire du Secrétariat d'État à l'économie relative à l’indemnité de chômage, ch. C8). Certes, la recourante a admis avoir été plus présente dans l’établissement depuis la perte de son emploi. Cela ne saurait cependant correspondre à un horaire à plein temps dans la mesure où la recourante n’a jamais affirmé se trouver au restaurant en semaine à midi - elle devait préparer le repas pour ses enfants, âgés de 12 et 17 ans - mais seulement en soirée et durant le weekend. Qui plus est, cette présence s’est avérée bien moindre qu’il n’y paraissait de prime abord puisqu’en audience, la recourante a précisé qu’elle devait préparer le repas du soir pour ses enfants et amener ces derniers à leurs activités sportives respectives plusieurs fois par semaine. Certes, la jurisprudence prévoit qu’en présence de deux versions différentes, il faut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Force est cependant de constater qu’en l’occurrence, les divergences de versions sont plutôt à mettre sur le compte du fait que la recourante n’a pas été assistée d’un interprète lors de son audition par l’OCE. Or, le Tribunal de céans a pu constater les difficultés de compréhension et d’expression qui étaient les siennes lors de l’audience. Dès lors, l’hypothèse selon laquelle il y aurait eu malentendu en ce sens que l’assurée n’a pas voulu dire qu’elle venait travailler tous les soirs mais qu’elle passait tous les soirs - ne serait-ce que pour passer prendre son époux en ramenant les enfants à la maison après leur entrainement - apparaît donc parfaitement plausible. Cette version des faits apparaît d’autant plus plausible qu’il est ressorti des enquêtes que le restaurant en question ne comportait que quelques tables (moins d’une dizaine), que la clientèle du soir n’était constituée que de quelques personnes, le plus souvent des familiers qui venaient surtout pour consommer des boissons. En définitive, de l’ensemble des circonstances, il ressort donc, au degré de vraisemblance prépondérante requis par la jurisprudence, que l’aide effective apportée par la recourante à son époux n’a, ainsi qu’elle le soutient, pas dépassé le cadre de son devoir s’assistance, évalué à un tiers-temps (cf. Pierre TERCIER, Les contrats spéciaux, 2ème éd., ZH, ch. 2565). On ne saurait considérer que prêter très épisodiquement main-forte au service constitue une activité qui aurait dû être rémunérée. Eu égard aux considérations qui précèdent, le recours est admis et les décisions litigieuses annulées.</w:t>
      </w:r>
    </w:p>
    <w:p>
      <w:r>
        <w:t>A/1643/2009 - 9/9 -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