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ATAS/142/2010 vom 28. April 2009</w:t>
      </w:r>
    </w:p>
    <w:p>
      <w:r>
        <w:t>GE Cour de justice, 2009-04-28, FR</w:t>
      </w:r>
    </w:p>
    <w:p>
      <w:r>
        <w:rPr>
          <w:b/>
        </w:rPr>
        <w:t xml:space="preserve">Quelle: </w:t>
      </w:r>
      <w:r>
        <w:t>https://mcp.opencaselaw.ch/entscheid/ge_gerichte_ATAS_142_2010</w:t>
      </w:r>
    </w:p>
    <w:p>
      <w:r>
        <w:t>FR: GE_GERICHTE ATAS/142/2010 du 28 avril 2009</w:t>
      </w:r>
    </w:p>
    <w:p>
      <w:r>
        <w:t>IT: GE_GERICHTE ATAS/142/2010 del 28 aprile 2009</w:t>
      </w:r>
    </w:p>
    <w:p>
      <w:pPr>
        <w:pStyle w:val="Heading2"/>
      </w:pPr>
      <w:r>
        <w:t>Erwägungen</w:t>
      </w:r>
    </w:p>
    <w:p>
      <w:r>
        <w:rPr>
          <w:b/>
        </w:rPr>
        <w:t>E. 1</w:t>
      </w:r>
    </w:p>
    <w:p>
      <w:r>
        <w:t>Conformément à l'art. 56V al. 1 let. a ch. 3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t>- 3/6-</w:t>
      </w:r>
    </w:p>
    <w:p>
      <w:r>
        <w:t>A/113/2010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 17 LPA prescrit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Selon l'art. 89C LPA, les délais en jours ou en mois fixés par la loi ou par l'autorité ne courent pas : a) du 7e jour avant Pâques au 7e jour après Pâques inclusivement; b) du 15 juillet au 15 août inclusivement; c) du 18 décembre au 1er janvier inclusivement.</w:t>
      </w:r>
    </w:p>
    <w:p>
      <w:r>
        <w:t>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En vertu de l’art. 16 al. 1 LPA,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- 4/6-</w:t>
      </w:r>
    </w:p>
    <w:p>
      <w:r>
        <w:t>A/113/2010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Dans le cas d'espèce, la décision sur opposition, expédiée par pli recommandé le 25 novembre 2009 a été reçue par la recourante le 26 novembre 2009, et le délai de recours a commencé à courir le 27 novembre 2009. En tenant compte de la suspension des délais du 18 décembre 2009 au 2 janvier 2010 inclus, le dernier jour utile pour déposer recours contre la décision était le lundi 11 janvier 2010. En l'occurrence, il est établi que le recours a été interjeté le 12 janvier 2010, soit après le délai de 30 jours dès sa réception.</w:t>
      </w:r>
    </w:p>
    <w:p>
      <w:r>
        <w:rPr>
          <w:b/>
        </w:rPr>
        <w:t>E. 5</w:t>
      </w:r>
    </w:p>
    <w:p>
      <w:r>
        <w:t>Reste à examiner si une restitution de délai peut être accordée.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w:t>
      </w:r>
    </w:p>
    <w:p>
      <w:r>
        <w:rPr>
          <w:b/>
        </w:rPr>
        <w:t>E. 6</w:t>
      </w:r>
    </w:p>
    <w:p>
      <w:r>
        <w:t>En l'espèce, une restitution du délai de recours au sens de l'art. 41 al. 1 LPGA ne se justifie pas. En effet, l’on ne peut considérer que la recourante a été empêchée sans</w:t>
      </w:r>
    </w:p>
    <w:p>
      <w:r>
        <w:t>- 5/6-</w:t>
      </w:r>
    </w:p>
    <w:p>
      <w:r>
        <w:t>A/113/2010 sa faute d’agir dans le délai fixé. L'empêchement invoqué, à savoir la péjoration de l'état de santé, aurait pu être considéré comme un motif valable, si l'état de santé s'était amélioré le 12 janvier 2010, ce qui aurait expliqué qu'à cette date, la recourante était à nouveau en mesure d'agir et de déposer le recours. Or, le médecin fait état d'une péjoration allant de novembre 2009 au 4 février 2010. Ainsi, soit cette péjoration n'était pas d'une gravité suffisante et ne constituait donc pas un empêchement d'agir, soit le certificat médical a été rédigé légèrement, pour les besoins de la cause. En tous les cas, ce certificat n'emporte pas la conviction du Tribunal quant à la réalité de l'empêchement. En l'absence de motif valable de restitution de délai, le recours doit être déclaré irrecevable pour cause de tardiveté.</w:t>
      </w:r>
    </w:p>
    <w:p>
      <w:r>
        <w:rPr>
          <w:b/>
        </w:rPr>
        <w:t>E. 7</w:t>
      </w:r>
    </w:p>
    <w:p>
      <w:r>
        <w:t>Cela étant dit, l'assurée n'est pas empêchée de demander une contre-expertise immobilière en Sicile, afin de démontrer, le cas échéant, que le SPC aurait surévalué la valeur intrinsèque et la valeur locative du bien immobilier litigieux, ou que ces valeurs auraient diminué, puis, sur cette base, solliciter une augmentation des prestations versées, en tout cas pour l'avenir.</w:t>
      </w:r>
    </w:p>
    <w:p>
      <w:r>
        <w:t>- 6/6-</w:t>
      </w:r>
    </w:p>
    <w:p>
      <w:r>
        <w:t>A/113/2010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