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ATAS/1429/2008 vom 2. Dezember 2008</w:t>
      </w:r>
    </w:p>
    <w:p>
      <w:r>
        <w:t>GE Cour de justice, 2008-12-02, FR</w:t>
      </w:r>
    </w:p>
    <w:p>
      <w:r>
        <w:rPr>
          <w:b/>
        </w:rPr>
        <w:t xml:space="preserve">Quelle: </w:t>
      </w:r>
      <w:r>
        <w:t>https://mcp.opencaselaw.ch/entscheid/ge_gerichte_ATAS_1429_2008</w:t>
      </w:r>
    </w:p>
    <w:p>
      <w:r>
        <w:t>FR: GE_GERICHTE ATAS/1429/2008 du 2 décembre 2008</w:t>
      </w:r>
    </w:p>
    <w:p>
      <w:r>
        <w:t>IT: GE_GERICHTE ATAS/1429/2008 del 2 dicembre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A/3739/2008 - 4/7 -</w:t>
      </w:r>
    </w:p>
    <w:p>
      <w:r>
        <w:rPr>
          <w:b/>
        </w:rPr>
        <w:t>E. 2</w:t>
      </w:r>
    </w:p>
    <w:p>
      <w:r>
        <w:t>La LPGA, entrée en vigueur le 1er janvier 2003, est applicable au cas d'espèce.</w:t>
      </w:r>
    </w:p>
    <w:p>
      <w:r>
        <w:rPr>
          <w:b/>
        </w:rPr>
        <w:t>E. 3</w:t>
      </w:r>
    </w:p>
    <w:p>
      <w:r>
        <w:t>Interjeté dans les forme et délai prescrits par la loi, le recours est recevable (art. 56 et 60 LPGA).</w:t>
      </w:r>
    </w:p>
    <w:p>
      <w:r>
        <w:rPr>
          <w:b/>
        </w:rPr>
        <w:t>E. 4</w:t>
      </w:r>
    </w:p>
    <w:p>
      <w:r>
        <w:t>L'objet du litige porte sur le bien-fondé de la décision de non entrée en matière de l'OCAI.</w:t>
      </w:r>
    </w:p>
    <w:p>
      <w:r>
        <w:rPr>
          <w:b/>
        </w:rPr>
        <w:t>E. 5</w:t>
      </w:r>
    </w:p>
    <w:p>
      <w:r>
        <w:t>Toutefois, il convient d'examiner préalablement l'argument de la recourante selon lequel le droit à la rente n'aurait pas été examiné dans le cadre de la précédente demande, et qu'il n'y aurait dès lors pas chose jugée en la matière. C'est méconnaître que l'administration examine les demandes, prend d'office les mesures d'instruction nécessaire et recueille les renseignements dont il a besoin pour déterminer le droit aux prestations (art. 43 LPGA). Ainsi, l'administration n'est pas limitée par une prestation particulière que réclamerait l'assuré. À cela s'ajoute que la réadaptation professionnelle prime le droit à la rente d'invalidité. Celui-ci ne prend naissance qu'à partir d'un taux d'invalidité de 40 % (art. 28 LAI). En deçà d'un taux d'invalidité d'environ 20 %, le droit aux mesures de réadaptation n'est pas ouvert (ATF 124 V 110 consid. 2b et les références). Enfin, la recourante elle-même avait prioritairement réclamé le droit à une réorientation professionnelle. C'est la raison pour laquelle l'OCAI a refusé les mesures professionnelles réclamées, toutefois au terme d'une instruction complète qui a conduit au refus de toute prestation, en raison d'une totale capacité de travail exigible de la recourante. On rappellera à l'attention de la recourante qu'il y a autorité de chose jugée, du point de vue matériel, lorsque le litige a le même objet que celui sur lequel s'est déjà prononcé l'autorité judiciaire par un jugement passé en force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En l'occurrence, la décision précédente est entrée en force, faute de recours. Le droit aux prestations antérieur au 25 avril 2008 a dès lors été examiné, de manière définitive. Seule peut entrer dès lors en considération une demande de révision ou de reconsidération.</w:t>
      </w:r>
    </w:p>
    <w:p>
      <w:r>
        <w:rPr>
          <w:b/>
        </w:rPr>
        <w:t>E. 6</w:t>
      </w:r>
    </w:p>
    <w:p>
      <w:r>
        <w:t>Selon l’art. 17 al. 1 LPGA, si le taux d’invalidité du bénéficiaire de la rente subit une modification notable, la rente est, d’office ou sur demande, révisée pour l’avenir, à savoir augmentée ou réduite en conséquence, ou encore supprimée.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du</w:t>
      </w:r>
    </w:p>
    <w:p>
      <w:r>
        <w:t>A/3739/2008 - 5/7 - Règlement sur l'assurance-invalidité).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68 consid. 5.2.3, 117 V 200 consid. 4b et les références). L'exigence sur le caractère plausible de la nouvelle demande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 27). La révision ne doit pas servir à réparer une omission qui aurait pu être évitée par un requérant diligent (KIESER, ATSG-Kommentar, note 12 ad art. 53). En cela, elle est un moyen subsidiaire par rapport aux voies de droit ordinaires (BEERLI-BONORAND, Die ausserordentlichen Rechtsmittel in der Verwaltungsrechtspflege des Bundes und der Kantone, thèse Zurich 1985, p. 109). Si le recourant ne rend pas plausible une telle modification,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 ATF 112 V 372 consid. 2b et 390 consid. 1b).</w:t>
      </w:r>
    </w:p>
    <w:p>
      <w:r>
        <w:rPr>
          <w:b/>
        </w:rPr>
        <w:t>E. 7</w:t>
      </w:r>
    </w:p>
    <w:p>
      <w:r>
        <w:t>En l'espèce, force est de constater que c'est à juste titre que l'OCAI n'est pas entré en matière sur la nouvelle demande. Le SMR a examiné le rapport médical produit, et a constaté, à juste titre, qu'aucune aggravation, à plus forte raison notable, de l'état de santé ne pouvait être retenue depuis la précédente décision. Le psychiatre traitant fait une appréciation différente de l'état de santé de la recourante de celle de l'expert du BREM. D'ailleurs, le psychiatre traitant fait état d'une aggravation de</w:t>
      </w:r>
    </w:p>
    <w:p>
      <w:r>
        <w:t>A/3739/2008 - 6/7 - l'état psychique de sa patiente qui remonte au mois de mars 2006, période qui a précisément fait l'objet de l'expertise. Il en est de même des douleurs aux deux mains, prises en considération tant par le BREM que par l'expert orthopédique. Aucune aggravation notable de l'état de santé n'a été rendue plausible. Le recours sera donc rejeté.</w:t>
      </w:r>
    </w:p>
    <w:p>
      <w:r>
        <w:rPr>
          <w:b/>
        </w:rPr>
        <w:t>E. 8</w:t>
      </w:r>
    </w:p>
    <w:p>
      <w:r>
        <w:t>Une reconsidération au sens de l'art. 53 al. 2 LPGA, qui n'est d'ailleurs pas sollicitée en l'espèce, ne pourrait pas non plus être admise. D'une part, rien n'indique que la décision initiale ait été manifestement erronée, bien au contraire vu l'instruction complète menée par l'OCAI dans ce cadre. D'autre part, la reconsidération ne peut pas être imposée à l'administration (ATF 117 V 12 consid. 2a et les références).</w:t>
      </w:r>
    </w:p>
    <w:p>
      <w:r>
        <w:rPr>
          <w:b/>
        </w:rPr>
        <w:t>E. 9</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A/3739/2008 - 7/7 -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