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ATAS/1427/2009 vom 5. November 2009</w:t>
      </w:r>
    </w:p>
    <w:p>
      <w:r>
        <w:t>GE Cour de justice, 2009-11-05, FR</w:t>
      </w:r>
    </w:p>
    <w:p>
      <w:r>
        <w:rPr>
          <w:b/>
        </w:rPr>
        <w:t xml:space="preserve">Quelle: </w:t>
      </w:r>
      <w:r>
        <w:t>https://mcp.opencaselaw.ch/entscheid/ge_gerichte_ATAS_1427_2009</w:t>
      </w:r>
    </w:p>
    <w:p>
      <w:r>
        <w:t>FR: GE_GERICHTE ATAS/1427/2009 du 5 novembre 2009</w:t>
      </w:r>
    </w:p>
    <w:p>
      <w:r>
        <w:t>IT: GE_GERICHTE ATAS/1427/2009 del 5 novembre 2009</w:t>
      </w:r>
    </w:p>
    <w:p>
      <w:pPr>
        <w:pStyle w:val="Heading2"/>
      </w:pPr>
      <w:r>
        <w:t>Erwägungen</w:t>
      </w:r>
    </w:p>
    <w:p>
      <w:r>
        <w:rPr>
          <w:b/>
        </w:rPr>
        <w:t>E. 1</w:t>
      </w:r>
    </w:p>
    <w:p>
      <w:r>
        <w:t>Conformément à l'art. 56V al. 1 let. a ch. 5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 blie.</w:t>
      </w:r>
    </w:p>
    <w:p>
      <w:r>
        <w:rPr>
          <w:b/>
        </w:rPr>
        <w:t>E. 2</w:t>
      </w:r>
    </w:p>
    <w:p>
      <w:r>
        <w:t>La LPGA, entrée en vigueur le 1er janvier 2003 et ayant entraîné la modification de nombreuses dispositions légales dans le domaine de l'assurance-accidents, est ap-</w:t>
      </w:r>
    </w:p>
    <w:p>
      <w:r>
        <w:t>A/194/2009 - 8/16 - plicable en l'espèce, dès lors que l’événement litigieux est postérieur à son entrée en vigueur (ATF 130 V 446 consid. 1 et ATF 129 V 4 consid. 1.2).</w:t>
      </w:r>
    </w:p>
    <w:p>
      <w:r>
        <w:rPr>
          <w:b/>
        </w:rPr>
        <w:t>E. 3</w:t>
      </w:r>
    </w:p>
    <w:p>
      <w:r>
        <w:t>Le délai de recours est de 30 jours (art. 60 al. 1 LPGA). La décision sur opposition du 26 novembre 2008 a été reçue le 29 novembre 2008, étant précisé que les délais sont suspendus du 18 décembre au 2 janvier inclusivement (art. 38 al. 4 let. c et 60 al. 2 LPGA). Par conséquent, le recours du 24 décembre 2008 a été formé en temps utile (art. 38 al. 1, 39 al. 1 et 60 al. 2 LPGA). Etant donné que l’intimée a admis en audience de comparution personnelle que le recourant avait fait son possible pour que le recours arrivât à bon port, elle ne conclut plus, à raison, à l’irrecevabilité du recours. En effet, si l’art. 64 al. 2 de la loi sur la procédure administrative du 12 septembre 1985 (LPA; RS E 5 10) prévoit, lorsque le recours est adressé à une autorité incompétente, que le délai est réputé déposé à la date à laquelle il a été adressé à la première autorité, a fortiori la même conséquence juridique s’impose lorsque le recourant saisit dans le délai de recours une autorité compétente, mais à une mauvaise adresse. Par conséquent, interjeté dans la forme et le délai prévus par la loi, le recours est recevable.</w:t>
      </w:r>
    </w:p>
    <w:p>
      <w:r>
        <w:rPr>
          <w:b/>
        </w:rPr>
        <w:t>E. 4</w:t>
      </w:r>
    </w:p>
    <w:p>
      <w:r>
        <w:t>La question litigieuse porte uniquement sur le point de savoir si l’événement liti- gieux doit être qualifié d'accident, plus spécialement si la condition de la cause ex- térieure extraordinaire est réalisée ou s’il existe une lésion assimilée à un accident.</w:t>
      </w:r>
    </w:p>
    <w:p>
      <w:r>
        <w:rPr>
          <w:b/>
        </w:rPr>
        <w:t>E. 5</w:t>
      </w:r>
    </w:p>
    <w:p>
      <w:r>
        <w:t>Selon l'art. 4 LPGA, on entend par accident toute atteinte dommageable, soudaine et involontaire, portée au corps humain par une cause extérieure extraordinaire qui compromet la santé physique, mentale ou psychique ou qui entraîne la mort. La no- tion d'accident se décompose en cinq éléments ou conditions, qui doivent être cumulativement réalisés. Il suffit que l'un d'entre eux fasse défaut pour que l'évé- nement ne puisse pas être qualifié d'accident et que, cas échéant, l'atteinte domma- geable soit qualifiée de maladie (ATF 129 V 404 consid. 2.1 et ATF 122 V 232 consid. 1 et les références). Il résulte de la définition même de l'accident que le caractère extraordinaire de l'at- teinte ne concerne pas les effets du facteur extérieur, mais seulement ce facteur lui- 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404 consid. 2.1 et ATF 122 V 233 consid. 1 ainsi que les références).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w:t>
      </w:r>
    </w:p>
    <w:p>
      <w:r>
        <w:t>A/194/2009 - 9/16 -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 car le facteur extérieur - l'interaction entre le corps et l'environnement - constitue en même temps le facteur extraordinaire en raison de l'interruption du déroulement na- turel du mouvement (ATF 130 V 118 consid. 2.1 et les références). Le caractère extraordinaire peut ainsi être admis lorsque l'assuré s'encouble, glisse ou se heurte à un objet, ou encore lorsqu'il exécute ou tente d'exécuter un mouvement réflexe pour éviter une chute (RAMA 2004 n° U 502 p. 184 consid. 4.1 in fine et RAMA 1999 n° U 345 p. 422 consid. 2b). Lorsque la lésion se limite à une atteinte corporelle in- terne qui pourrait également survenir à la suite d'une maladie, le mouvement non coordonné doit en apparaître comme la cause directe selon des circonstances parti- 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arrêts cités).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 rances sociales, le juge fonde sa décision, sauf dispositions contraires de la loi, sur les faits qui, faute d'être établis de manière irréfutable, apparaissent comme les plus vraisemblables, c'est à-dire qui présentent un degré de vraisemblance prépondé- rante. Il ne suffit donc pas qu'un fait puisse être considéré seulement comme une hypothèse possible. Parmi tous les éléments de fait allégués ou envisageables, le juge doit, le cas échéant, retenir ceux qui lui paraissent les plus probables (ATF 130 III 324 consid. 3.2 et 3.3 et ATF 126 V 360 consid. 5b et les références.).</w:t>
      </w:r>
    </w:p>
    <w:p>
      <w:r>
        <w:rPr>
          <w:b/>
        </w:rPr>
        <w:t>E. 6</w:t>
      </w:r>
    </w:p>
    <w:p>
      <w:r>
        <w:t>L'art. 9 al. 2 OLAA prévoit notamment que les fractures (let. a), les déboîtements d'articulation (let. b), les déchirures du ménisque (let. c) et les lésions de ligaments (let. g) sont assimilées à un accident, même si elles ne sont pas causées par un fac- teur extérieur de caractère extraordinaire, pour autant qu'elles ne soient pas mani- festement imputables à une maladie ou à des phénomènes dégénératifs. Toutes les autres conditions constitutives de la notion d'accident doivent être réalisées (cf. art. 4 LPGA). A défaut de l'existence d'une cause extérieure - soit d'un événement simi- 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446). Si une telle lé- sion survient sans avoir été déclenchée par un facteur extérieur soudain et involon- taire, elle est manifestement imputable à une maladie ou à des phénomènes dégéné-</w:t>
      </w:r>
    </w:p>
    <w:p>
      <w:r>
        <w:t>A/194/2009 - 10/16 - ratifs et il appartient à l'assurance-maladie d'en prendre en charge les suites. On précisera que dans le cadre de l'art. 9 OLAA, on ne peut admettre le retour au statu quo sine en cas de lésion assimilée - malgré l’origine en grande partie dégénérative de celle-ci -, tant que le caractère désormais exclusivement maladif ou dégénératif de l'atteinte à la santé n'est pas clairement établi. A défaut, en effet, on se trouverait à nouveau confronté, immédiatement après avoir admis l'existence d'une lésion as- similée à un accident, à la difficulté de distinguer entre l'origine dégénérative ou accidentelle de cette lésion (ATFA non publié U 220/02 du 6 août 2003, consid. 2). L'existence d'une lésion corporelle assimilée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 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 logique. La notion de cause extérieure suppose en effet qu'un événement générant un risque de lésion accru survienne. Tel est le cas notamment lors de changements de position du corps, qui sont fréquemment de nature à provoquer des lésions cor- 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et 4.3).</w:t>
      </w:r>
    </w:p>
    <w:p>
      <w:r>
        <w:rPr>
          <w:b/>
        </w:rPr>
        <w:t>E. 7</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w:t>
      </w:r>
    </w:p>
    <w:p>
      <w:r>
        <w:t>A/194/2009 - 11/16 - raisons pour lesquelles il se fonde sur une opinion médicale et non pas sur une au- 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 mées, qu'il ait été établi en pleine connaissance du dossier (anamnèse), que la des- cription des interférences médicales soit claire et, enfin, que les conclusions de l'expert soient bien motivées (ATF 125 V 351 consid. 3a).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 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I 592/99 du 13 mars 2000). Une expertise médicale établie sur la base d’un dossier peut avoir valeur probante pour autant que celui-ci contienne suffisamment d’appréciations médica- les qui, elles, se fondent sur un examen personnel de l’assuré (cf. RAMA 2001 n° U 438 p. 346 consid. 3d).</w:t>
      </w:r>
    </w:p>
    <w:p>
      <w:r>
        <w:rPr>
          <w:b/>
        </w:rPr>
        <w:t>E. 8</w:t>
      </w:r>
    </w:p>
    <w:p>
      <w:r>
        <w:t>Au sujet de la preuve de l'existence d'une cause extérieure prétendument à l'origine de l'atteinte à la santé, on rappellera que les explications d'un assuré sur le déroule- ment d'un fait allégué sont au bénéfice d'une présomption de vraisemblance. Il peut néanmoins arriver que les déclarations successives de l'intéressé soient contradictoi- res entre elles. En pareilles circonstances, selon la jurisprudence, il convient de re- tenir la première affirmation, qui correspond généralement à celle que l'assuré a faite alors qu'il n'était pas encore conscient des conséquences juridiques qu'elle au- rait, les nouvelles explications pouvant être, consciemment ou non, le produit de ré- flexions ultérieures (ATF 121 V 47 consid. 2a et les références; RAMA 2004 n° U 515 p. 420 consid. 1.2; VSI 2000 p. 201 consid. 2d; ATFA non publié U 96/05 du 20 mai 2006, consid. 3.1). En l’espèce, il n'existe aucune description de l'événement du 1er mars 2008 faite immédiatement après sa survenance car l'employeur a annoncé le sinistre au moyen d’une déclaration d’accident-bagatelle et l’intimée n’a d’abord pas cherché à savoir quel avait été le déroulement de cet événement. Dans son rapport du 23 juin 2008 consécutif à l’audition du recourant, l’inspecteur de l’intimée a indiqué que, pen- dant un entraînement de basket, l’assuré avait sauté pour rattraper un rebond et que,</w:t>
      </w:r>
    </w:p>
    <w:p>
      <w:r>
        <w:t>A/194/2009 - 12/16 - lorsqu’il était retombé sur ses deux pieds, il avait ressenti un craquement ainsi qu’une vive douleur au genou gauche sans chuter. Puis, lors de l’audience de com- parution personnelle devant le Tribunal de céans, le recourant a contesté la descrip- tion de l’accident rapportée par l’inspecteur de sinistres. Il a expliqué qu’il n’était pas retombé sur ses deux pieds, mais sur son seul pied gauche, puis qu’il avait chu- té. Dans son rapport du 2 juin 2009, le Dr B__________ a précisé que le patient lui avait relaté l’accident comme un traumatisme survenu pendant un match de basket avec torsion du genou lors d’une réception, la jambe en extension du côté gauche. En l'espèce, on retiendra sur la base du dossier et des précisions apportées par le re- courant en audience de comparution personnelle - au demeurant non contestées par l'intimée – qu’au cours du jeu et alors qu'il avait sauté pour rattraper le ballon lors d’un rebond, il est retombé sur le pied gauche et a entendu un craquement, puis a ressenti une douleur avant de chuter. Il y a lieu de relever que le Dr B__________ apporte une précision supplémentaire, à savoir qu’il y a eu entorse du genou gauche lors de la réception au sol. Le recourant a consulté ce spécialiste pour la première fois le 14 mai 2008, soit avant la description de l’accident donnée à l’inspecteur de sinistres, de sorte qu’il y a lieu de retenir qu’il s’agit là de ses premières déclara- tions, lesquelles concordent avec la description faite en audience (cf. ATF 121 V 47 consid. 2a et les références; VSI 2000 p. 201 consid. 2d). Par conséquent, il convient d’admettre qu’il y a eu entorse du genou lors de la réception au sol sur la jambe gauche lors d’un saut pour saisir la balle. Contrairement à ce que soutient l’intimée dans sa décision sur opposition, la ques- tion de savoir si la réception d’un saut au rebond est considérée ou non comme un accident n’a pas encore été tranchée par le Tribunal fédéral. Or, en basketball, lors- qu’un joueur saute pour prendre le rebond du ballon, il ne saute pas s’il n’y a pas la présence d’un autre joueur pour lui disputer le ballon. En effet, en l’absence d’adversaire à proximité, il s’empare du ballon sans sauter et se déplace en drib- blant. Même si le recourant n’a pas donné plus de précisions au sujet du déroule- ment de l’accident, soit parce que l’intimée ne les lui a pas demandées, soit parce qu’il n’a pas mémorisé tous les mouvements effectués lors de son geste, il n’est pas possible d’en déduire que la lésion s’est produite lors d’un mouvement normal de réception au sol. Au contraire, étant donné qu’un saut au rebond n’a pas lieu si le ballon n’est pas disputé par un autre joueur et que le basketball est un sport de contact, il est hautement vraisemblable que, lors dudit saut, il y a eu une entrave par contact avec un autre joueur ou évitement de celui-ci qui a entraîné une mauvaise réception au sol de la jambe gauche influencée par un phénomène extérieur. Par conséquent, l'existence d'un facteur extérieur doit être admise. L’intimée conteste également que la condition relative au caractère extraordinaire de l’atteinte soit réalisée au motif que le recourant pratique régulièrement le basket- ball et que ce type de mouvement serait donc habituel pour lui.</w:t>
      </w:r>
    </w:p>
    <w:p>
      <w:r>
        <w:t>A/194/2009 - 13/16 - Cet argument doit être écarté dès lors que, dans son raisonnement, l’intimée assi- mile cette situation avec celle d’un travailleur de force qui n’est en rien comparable dès lors que les entraînements de basket ont lieu quelques heures par semaine alors que le travailleur de force répète les mêmes mouvements plusieurs heures par jour et cinq jours par semaine. De plus, selon la jurisprudence, par rapport aux mouve- ments de la vie quotidienne, le basketball présente à l'évidence un potentiel de dan- ger accru (course, accélérations, mouvements brusques en avant, en arrière et de cô- té, arrêts brusques). Même pour une personne qui pratique régulièrement ce sport, ces mouvements ne peuvent être assimilés à des gestes de la vie courante, comme le fait de se déplacer dans une pièce, se lever, se coucher ou s'asseoir. Une brusque ro- tation du haut du corps dans une phase de jeu plus ou moins critique (sous le pa- nier), alors que les pieds restent fixes, constitue une sollicitation du corps plus im- portante que la normale (ATFA non publié U 71/07 du 15 juin 2007, consid. 6.2). Au demeurant, étant donné que le déroulement naturel du mouvement a été influen- cé par un phénomène extérieur, il s’agit d’un «mouvement non programmé». Par conséquent, l'interaction entre le corps et l'environnement constitue en même temps le facteur extraordinaire en raison de l'interruption du déroulement naturel du mou- vement de sorte que l'existence d'un facteur extérieur extraordinaire doit être admis (ATF 130 V 118 consid. 2.1 et les références). En définitive, le Tribunal de céans considère que le sinistre du 1er mars 2008 est un accident qui doit être pris en charge par l’intimée.</w:t>
      </w:r>
    </w:p>
    <w:p>
      <w:r>
        <w:rPr>
          <w:b/>
        </w:rPr>
        <w:t>E. 9</w:t>
      </w:r>
    </w:p>
    <w:p>
      <w:r>
        <w:t>L’intimée conteste que l’IRM du 13 mars 2008 révèle des lésions d’origine acci- dentelle, notamment que la fissuration profonde de la rotule gauche soit la consé- quence de l’accident du 1er mars 2008. Outre ladite fissuration, l’IRM met également en évidence une anomalie de signal de grade I de la corne postérieure du ménisque interne gauche bien que le radiolo- gue retienne l’absence de déchirure méniscale significative. Sans entrer dans la controverse médicale sur l’origine accidentelle de la fissuration de la rotule gauche qui est unanimement admise par les médecins du recourant au vu de l’âge du recou- rant, cette anomalie permet de déduire que l’IRM révèle en tout cas une déchirure du ménisque interne gauche non significative; il semble dès lors spécieux de pré- tendre qu’elle ne révèle aucune lésion d’origine accidentelle. Au demeurant, le Tri- bunal rappellera que la LAA n’exclut pas la prise en charge de lésions dégénérati- ves par l’assureur-accidents puisque celui-ci doit prendre à sa charge le traitement de l'état maladif préexistant, dans la mesure où il a été causé ou aggravé par l'acci- dent aussi longtemps que le statu quo sine vel ante n'est pas rétabli (RAMA 1992 n° U 142 p. 75 consid. 4b; ATFA U 351/04 du 14 février 2006, consid. 3.3). De plus, ce qui importe pour juger du droit aux prestations d'un assuré, c'est la réper- cussion de l'atteinte à la santé diagnostiquée sur la capacité de travail (art. 6 et 16 LPGA). Seule la réponse à cette question intéresse finalement le juriste dans une</w:t>
      </w:r>
    </w:p>
    <w:p>
      <w:r>
        <w:t>A/194/2009 - 14/16 - procédure portant sur l'incapacité de travail ou l'invalidité; le débat médical relatif à la dénomination diagnostique la mieux appropriée pour décrire l'état de souffrance du patient, soit en l’occurrence entorse ou lésion méniscale se révèle dans ce contexte plutôt secondaire (ATFA non publié I 134/05 du 13 mars 2006, consid. 3.2.1.3). En l’occurrence, il n’y a pas lieu de trancher cette question car la décision du 3 juillet 2008 et la décision sur opposition du 22 juillet 2008 ne traitent pas de ce point mais uniquement de savoir si les conditions d’un accident ou d’une lésion as- similée sont réalisées. Or, dans la procédure juridictionnelle administrative, ne peu- vent être examinés et jugés, en principe, que les rapports juridiques à propos des- quels l’autorité administrative compétente s’est prononcée préalablement d’une manière qui la lie, sous la forme d’une décision. Dans cette mesure, la décision dé- termine l’objet de la contestation qui peut être déféré en justice par voie de recours. En revanche, dans la mesure où aucune décision n’a été rendue, la contestation n’a pas d’objet, et un jugement sur le fond ne peut pas être prononcé (ATF 131 V 164 consid. 2.1 ainsi que les références et ATF 119 Ib 36 consid. 1b). Toutefois, la pro- 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et ATF 122 V 36 consid. 2a ainsi que les références). En l’occurrence, les points soulevés par l’intimée pour refuser de verser ses presta- tions n’ont pas été tranchés dans la décision sur opposition de sorte qu’ils ne font pas partie de l’objet du litige. De plus, une incapacité de travail entière du 1er avril au 31 mai 2008 en relation avec l’accident est admise par tous les rapports médi- caux de sorte que l’intimée ne peut pas refuser de verser ses prestations sans mettre en œuvre une expertise médicale. Par conséquent, les questions relatives au lien de causalité entre l’accident du 1er mars 2008 et les lésions dont souffre le recourant ne sont pas en état d’être jugées de sorte qu’elles ne peuvent pas être examinées par le Tribunal de céans. Si l’intimé conteste réellement l’absence d’un lien partiel de causalité naturelle - suffisant pour engager son obligation de prester - alors même que l’IRM met en évidence au moins une anomalie de signal de grade I au ménisque interne attestant d’une lésion vraisemblablement d’origine accidentelle, que la durée de l’incapacité de travail n’est que de deux mois et que le recourant ne nécessite pas d’opération, il lui appartiendra de mettre en œuvre une expertise externe auprès d’un spécialiste en orthopédie, puis de rendre une nouvelle décision.</w:t>
      </w:r>
    </w:p>
    <w:p>
      <w:r>
        <w:t>A/194/2009 - 15/16 -</w:t>
      </w:r>
    </w:p>
    <w:p>
      <w:r>
        <w:rPr>
          <w:b/>
        </w:rPr>
        <w:t>E. 10</w:t>
      </w:r>
    </w:p>
    <w:p>
      <w:r>
        <w:t>Etant donné que le caractère accidentel de l'événement du 1er mars 2008 est admis, la question de savoir si la fissuration du cartilage de la rotule gauche est une lésion corporelle assimilée à un accident, tant sur le plan juridique que sur le plan médical, peut rester non résolue.</w:t>
      </w:r>
    </w:p>
    <w:p>
      <w:r>
        <w:rPr>
          <w:b/>
        </w:rPr>
        <w:t>E. 11</w:t>
      </w:r>
    </w:p>
    <w:p>
      <w:r>
        <w:t>Au vu de ce qui précède, le recours est admis et les décisions du 3 juillet 2008 ainsi que du 26 novembre 2008 sont annulées. Bien que le recourant obtienne gain de cause, il n’a pas droit à des dépens puisqu’il n’est pas représenté par un mandataire et ne remplit pas les conditions justifiant leur octroi à titre exceptionnel (ATF 132 consid. 4d et ATF 110 V 72 consid. 7).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