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ATAS/1425/2009 vom 5. November 2009</w:t>
      </w:r>
    </w:p>
    <w:p>
      <w:r>
        <w:t>GE Cour de justice, 2009-11-05, FR</w:t>
      </w:r>
    </w:p>
    <w:p>
      <w:r>
        <w:rPr>
          <w:b/>
        </w:rPr>
        <w:t xml:space="preserve">Quelle: </w:t>
      </w:r>
      <w:r>
        <w:t>https://mcp.opencaselaw.ch/entscheid/ge_gerichte_ATAS_1425_2009</w:t>
      </w:r>
    </w:p>
    <w:p>
      <w:r>
        <w:t>FR: GE_GERICHTE ATAS/1425/2009 du 5 novembre 2009</w:t>
      </w:r>
    </w:p>
    <w:p>
      <w:r>
        <w:t>IT: GE_GERICHTE ATAS/1425/2009 del 5 novembre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 rale sur l’assurance-accidents du 20 mars 1981 (LAA). Sa compétence pour juger du cas d’espèce est ainsi établie.</w:t>
      </w:r>
    </w:p>
    <w:p>
      <w:r>
        <w:rPr>
          <w:b/>
        </w:rPr>
        <w:t>E. 2</w:t>
      </w:r>
    </w:p>
    <w:p>
      <w:r>
        <w:t>Respectant les forme et délais légaux (art. 106 LAA dans sa teneur en vigueur de- puis le 1er janvier 2003, en dérogation à l’art. 60 LPGA), le recours est recevable.</w:t>
      </w:r>
    </w:p>
    <w:p>
      <w:r>
        <w:rPr>
          <w:b/>
        </w:rPr>
        <w:t>E. 3</w:t>
      </w:r>
    </w:p>
    <w:p>
      <w:r>
        <w:t>La loi fédérale du 6 octobre 2000 sur la partie générale du droit des assurances so- ciales (LPGA) est entrée en vigueur le 1er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être examiné à l'aune des dispositions de la LAA en vigueur jusqu'au 31 décembre 2002, pour la période courant jusqu'à cette date, puis à celle de la nouvelle régle- mentation pour la période postérieure. Il convient en outre de relever que les dispo- sitions de la LPGA n'ont pas modifié les notions d'accident et d'invalidité (notam- ment) selon l'ancienne LAA et la jurisprudence du TFA y relative est toujours d'ac- tualité. Enfin, en ce qui concerne la procédure et à défaut de règles transitoires contraires, le nouveau droit s'applique sans réserve dès le jour de son entrée en vi- gueur (ATF 117 V 93 consid. 6b, 112 V 360 consid. 4a; RAMA 1998 KV 37 p. 316 consid. 3b).</w:t>
      </w:r>
    </w:p>
    <w:p>
      <w:r>
        <w:rPr>
          <w:b/>
        </w:rPr>
        <w:t>E. 4</w:t>
      </w:r>
    </w:p>
    <w:p>
      <w:r>
        <w:t>Est litigieux en l'espèce le droit du recourant au versement d'indemnités journalières de l'assurance-accidents au-delà du 1er octobre 2005 en raison de la chute dans les escaliers du 9 juillet 2002 et de l’accident du 22 octobre 2002. Singulièrement, il s'agit de se prononcer sur le lien de causalité entre les événements précités et l'in- tervention chirurgicale du 18 novembre 2004, ainsi que sur leurs conséquences et enfin, la stabilisation de l'état de santé du recourant.</w:t>
      </w:r>
    </w:p>
    <w:p>
      <w:r>
        <w:t>A/3693/2006 - 11/17 -</w:t>
      </w:r>
    </w:p>
    <w:p>
      <w:r>
        <w:rPr>
          <w:b/>
        </w:rPr>
        <w:t>E. 5</w:t>
      </w:r>
    </w:p>
    <w:p>
      <w:r>
        <w:t>a) L'art. 6 al. 1 LAA stipule que, sauf disposition contraire, les prestations d'assu- rance sont allouées en cas d'accident professionnel, d'accident non professionnel et de maladie professionnelle. Aux termes de l'art. 6 al. 3 LAA, l'assurance alloue en outre ses prestations pour les lésions causées à l'assuré victime d'un accident lors du traitement médical (art. 10 LAA). b) Est réputé accident toute atteinte dommageable, soudaine et involontaire, portée au corps humain par une cause extraordinaire qui compromet la santé physique, mentale ou psychique ou qui entraîne la mort (art. 9 al. 1 de l'ordonnance sur l'assu- rance-accidents du 20 décembre 1982 dans sa teneur en vigueur jusqu'au 31 dé- cembre 2002; art. 4 LPGA). c) Dans le cas d'espèce, l'intimée ne conteste pas que la chute du 9 juillet 2002 ayant occasionné une entorse de la cheville répond à la définition de l'accident pré- citée. Il en va de même de l’événement du 22 octobre 2002 (casserole tombée sur le pied du recourant).</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 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 tiellement sur des renseignements d'ordre médical, et qui doit être tranchée en se conformant à la règle du degré de vraisemblance prépondérante, appliquée généra- lement à l'appréciation des preuves dans l'assurance sociale. Ainsi, lorsque l'exis- 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de déclencher un processus qui se- 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En principe, on examinera si l'atteinte à la</w:t>
      </w:r>
    </w:p>
    <w:p>
      <w:r>
        <w:t>A/3693/2006 - 12/17 - santé est encore imputable à l'accident ou ne l'est plus (statu quo ante ou statu quo sine) sur le critère de la vraisemblance prépondérante, usuel en matière de preuve dans le domaine des assurances sociales (ATF 126 V 360 consid. 5b, 125 V 195 consid. 2; RAMA 2000 n° U 363 p. 46). En tant que principe répondant à la nécessité de fixer une limite raisonnable à la responsabilité de l'assureur-accidents social, la causalité adéquate n'a pratiquement aucune incidence en présence d'une atteinte à la santé physique en relation de cau- salité naturelle avec l'accident, du moment que dans ce cas l'assureur répond aussi des atteintes qui ne se produisent habituellement pas selon l'expérience médicale (ATF 127 V 102 consid. 5b/bb p. 103 et les références). b) L'art. 6 al. 3 LAA prévoit, par ailleurs, que l'assurance-accidents alloue ses pres- 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 damment du point de savoir si cette lésion constitue elle-même un accident ou ré- sulte d'une violation des règles de l'art par le médecin traitant. L'ouverture du droit aux prestations implique toutefois un rapport de causalité naturelle et adéquate en- tre la lésion constatée et le traitement médical des suites de l'accident. Une atteinte à la santé résultant d'un acte médical ou d'une omission de poser un tel acte, dans le cadre du traitement d'une maladie sans rapport avec les prestations pour soins al- louées conformément à l'art.10 LAA, n'entre pas dans le champ d'application de l'art. 6 al. 3 LAA. L'assurance-accidents ne répond donc pas, par exemple, d'un dé- cès ensuite d'un cancer sans rapport de causalité avec l'accident assuré et qui n'a pas été découvert (à temps) à l'occasion de soins médicaux pris en charge au titre de l'art. 10 LAA ( ATF 128 V 169 consid. 1c p. 171 ss; Jean-Maurice Frésard/Margit Moser-Szeless, L'assurance-accidents obligatoire, in : Schweizerisches Bundesver- waltungsrecht (SBVR), 2ème éd., 2007, no 140 sv., ATF non publié du 11 mars 2009, 8C 433/2008)).</w:t>
      </w:r>
    </w:p>
    <w:p>
      <w:r>
        <w:rPr>
          <w:b/>
        </w:rPr>
        <w:t>E. 7</w:t>
      </w:r>
    </w:p>
    <w:p>
      <w:r>
        <w:t>a)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n’est pas allouée s’il existe un droit à une indemnité journalière de l’assurance- invalidité ou à une allocation de maternité selon la loi du 25 septembre 1952 sur les allocations pour perte de gain (LAPG) (al. 3). b) Par ailleurs, celui qui, par suite d'un accident assuré, souffre d'une atteinte impor- tante et durable à son intégrité physique mentale ou psychique a droit à une indem-</w:t>
      </w:r>
    </w:p>
    <w:p>
      <w:r>
        <w:t>A/3693/2006 - 13/17 - nité équitable pour atteinte à l'intégrité, sous forme de prestation en capital; celle-ci est fixée en fonction de la gravité de l'atteinte et s'apprécie d'après les constatations médicales (cf. art. 24 al. 1 et 25 al. 1 LAA).</w:t>
      </w:r>
    </w:p>
    <w:p>
      <w:r>
        <w:rPr>
          <w:b/>
        </w:rPr>
        <w:t>E. 8</w:t>
      </w:r>
    </w:p>
    <w:p>
      <w:r>
        <w:t>a) Pour pouvoir calculer le degré d'invalidité, l'administration (ou le juge, s'il y a eu un recours) a besoin de documents qu'un médecin, éventuellement d'autres spécia- 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b) Selon la jurisprudence et la doctrine, l’autorité administrative ou le juge ne doit considérer un fait comme prouvé que lorsqu’ils sont convaincus de sa réalité (Kummer, Grundriss des Zivilprozessrechts, 4ème édition Berne 1984, p. 136 ; GY- 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 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c)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 ciaire) le fait que celle-ci contienne des contradictions, ou qu'une sur expertise or- donnée par le tribunal en infirme les conclusions de manière convaincante. En ou- tre, lorsque d'autres spécialistes émettent des opinions contraires aptes à mettre sé- rieusement en doute la pertinence des déductions de l'expert, on ne peut exclure, se- lon les cas, une interprétation divergente des conclusions de ce dernier par le juge ou, au besoin, une instruction complémentaire sous la forme d'une nouvelle exper- tise médicale (ATF 125 V 352 consid. 3b/aa et les références). En effet, conformément au principe inquisitoire qui régit la procédure dans le do- maine des assurances sociales, l'administration (ou le juge, s'il y a eu recours) est tenue d'ordonner une instruction complémentaire lorsque les allégations des parties et les éléments ressortant du dossier requièrent une telle mesure. En particulier, elle doit mettre en œuvre une expertise lorsqu'il apparaît nécessaire de clarifier les as- pects médicaux du cas (ATF 117 V 283 consid. 4a; RAMA 1985 K 646 p. 240</w:t>
      </w:r>
    </w:p>
    <w:p>
      <w:r>
        <w:t>A/3693/2006 - 14/17 - consid. 4). En revanche, si l'administration ou le juge, se fondant sur une apprécia- tion consciencieuse des preuves fournies par les investigations auxquelles ils doi- vent procéder d'office, sont convaincus que certains faits présentent un degré de vraisemblance prépondérante et que d'autres mesures probatoires ne pourraient plus modifier cette appréciation, il est superflu d'administrer d'autres preuves (apprécia- tion anticipée des preuves; Kieser, Das Verwaltungsverfahren in der Sozialversi- cherung, p. 212, n° 450; Kölz/Häner, Verwaltungsverfahren und Verwaltungsrech- tspflege des Bundes, 2e éd., p. 39, n° 111 et p. 117, n° 320; Gygi, Bundesverwal- 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d) Dans le contexte de la suppression du droit aux prestations, la règle selon la- 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 blance prépondérante corresponde à la réalité (ATF 117 V 264 consid. 3b et les ré- férences). La preuve de la disparition du lien de causalité naturelle ne doit pas être apportée par la preuve de facteurs étrangers à l'accident. Il est encore moins ques- 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du 20 décembre 2005, U 359/04, consid. 2, U 27 octobre 2005, U 389/04, consid. 4.1, du 30 novembre 2004, U 222/04, consid. 1.3).</w:t>
      </w:r>
    </w:p>
    <w:p>
      <w:r>
        <w:rPr>
          <w:b/>
        </w:rPr>
        <w:t>E. 9</w:t>
      </w:r>
    </w:p>
    <w:p>
      <w:r>
        <w:t>En l'espèce, le rapport d'expertise judiciaire de la doctoresse U__________ a été établi sur la base d'une anamnèse complète. L'expert s'est référé aux nombreux rap- ports médicaux établis ainsi qu'aux examens subis par l'assuré tels qu'IRM, radio- graphies, scanners et scintigraphies effectués entre janvier 2004 septembre 2008. Il a également pris en considération les données subjectives de l'assuré et effectué un examen personnel. Les réponses de l’expert sont suffisamment motivées. Au sur- plus, les réponses apportées par l’expert suite aux questions complémentaires po- sées à la demande des parties ont définitivement écarté certaines imprécisions. S'agissant de la capacité de travail du recourant, l'avis de l'expert rejoint celui ex- primé dans les rapports du Dr M__________ des 17 novembre 2004, 19 août 2005 et 18 janvier 2006 et de la Dresse T__________ du 1er juin 2005, selon lesquels l'incapacité de travail du recourant dans son activité de cuisinier est de 50%. Seul le Dr P__________, dans son expertise du 1er octobre 2005, a exprimé des réticences</w:t>
      </w:r>
    </w:p>
    <w:p>
      <w:r>
        <w:t>A/3693/2006 - 15/17 - quant à cette appréciation. Le Tribunal de céans a toutefois considéré que cette ex- pertise, en raison notamment du fait qu'elle contenait des contradictions et que ses conclusions n'étaient pas claires, ne pouvait pas se voir reconnaître pleine valeur probante. Il convient d’ailleurs de souligner que le Dr P__________ avait égale- ment, dans un premier temps fixé l'incapacité de travail de l'assuré à 50% ; or, selon l’expertise du 10 mars 2009, il apparaît que l’état de ce dernier s'est aggravé depuis lors. Eu égard aux considérations qui précèdent, le Tribunal de céans reconnaît pleine valeur probante à l'expertise de la doctoresse U__________. Or, il résulte de cette expertise du 10 mars 2009 et de son complément du 21 août 2009 que l'intervention subie par l'assuré, en date du 18 novembre 2004 (excision de l'os trigone devenu symptomatique suite à l'hyperextension plantaire survenue lors de la chute) est en relation de causalité naturelle avec les deux accidents surve- nus en 2002. En effet, quand bien même cet os trigone constitue une maladie congénitale, c'est uniquement en raison de l’accident qu'il est devenu douloureux et handicapant. Qui plus est, l’intervention a été effectuée avec l’accord de l'intimée. De même en est-il de la lésion du nerf saphène lors de l'intervention. En effet, il ressort de la jurisprudence précitée que toutes les lésions causées lors d'un traite- ment, qu'elles soient dues à une erreur médicale, à une complication opératoire ou consécutives à un intervention, doivent être prises en charge par l'assureur-accident à condition toutefois qu'il y ait rapport de causalité naturelle et adéquat entre la lé- sion constatée et le traitement médical des suites de l'accident. Tel est le cas, en l'espèce. Or, la doctoresse a indiqué, dans son expertise du 10 mars 2009, que l'ablation de l'os trigone associé à l'allongement des muscles jumeaux selon Stayer a malheureusement occasionné une souffrance du nerf saphène externe, ce qui consti- tue une complication médicale, laquelle est susceptible de survenir lors de ce type d'intervention. Par conséquent, cette lésion est en lien de causalité naturelle et adé- quate avec l'intervention du 18 novembre 2004, laquelle est elle-même, comme mentionné supra, en lien de causalité avec les deux accidents survenus dans le cou- rant de l'année 2002; l'allégation de l'intimée selon laquelle, par définition, une complication opératoire n'est pas justifiée par un accident, tombe ici à faux. L'ex- pert a de plus indiqué que le statu quo sine vel ante n'était pas atteint, de sorte que le lien de causalité perdure toujours. Enfin, l’expert a expliqué de façon convain- cante pour quel motif l'état de santé de l'assuré ne s'était pas stabilisé. Il résulte de ce qui précède que, d'une part, l'intervention du 18 novembre 2004 consistant à exciser l'os trigone est en relation de causalité avec les accidents surve- nus dans le courant de l'année 2002 et que, d'autre part, la lésion du nerf saphène est en relation de causalité avec l'intervention du 18 novembre 2004.</w:t>
      </w:r>
    </w:p>
    <w:p>
      <w:r>
        <w:t>A/3693/2006 - 16/17 -</w:t>
      </w:r>
    </w:p>
    <w:p>
      <w:r>
        <w:rPr>
          <w:b/>
        </w:rPr>
        <w:t>E. 10</w:t>
      </w:r>
    </w:p>
    <w:p>
      <w:r>
        <w:t>Dans son expertise du 10 mars 2009 et son complément du 26 août 2009, la Dresse U__________ a évalué la capacité de travail du recourant à 50% dans son activité de cuisinier et à 100% dans une activité adaptée et ceci, dès le 1er octobre 2005, même avec le port des chaussures orthopédiques, dont il a été indiqué qu’il n’avait pas apporté à l'assuré le soulagement escompté et provoquait, en contact avec les cicatrices, une gêne et des douleurs. A cet égard, l'intimée allègue, d'une part, que l'expert n'a pas examiné le recourant une nouvelle fois avant de se prononcer sur le port des chaussures orthopédiques et, d'autre part, que le recourant est en mesure de porter ses chaussures durant trois à quatre heures par jour, ce qui, en l'espèce, est suffisant dès lors que ce dernier exer- çait son activité de cuisinier à raison de 50%, soit quatre heures par jour. L'assureur perd ici de vue que lesdites chaussures ne soulagent pas le recourant et qu'il ne saurait être exigé de lui qu'il les porte uniquement durant ses heures de tra- vail et mette ainsi des chaussures inadaptées le reste de la journée. De plus, il n'est pas déterminant que l'expert se soit prononcé sur les conséquences du port des chaussures sans avoir vu le patient une nouvelle fois. En effet, dans son expertise du 10 mars 2009, l'expert avait déjà émis des réserves quant aux effets positifs des- dites chaussures, lesquelles n'ont fait ainsi que se confirmer par la suite. De sur- croît, on ne voit pas en quoi il pourrait être utile d'examiner un patient pour savoir s'il ressent des douleurs lors du port de telles chaussures. Par conséquent, le taux d'incapacité de travail de 50 % tel que retenu par la Dresse U__________ doit être retenu. De surcroît, comme il a déjà été mentionné, ce taux est identique à celui qu'avait retenu les Drs V__________ et T__________. Il en découle que des indemnités journalières devront être versées à raison de 50 % de- puis le 1er octobre 2005. S'agissant enfin de l'atteinte à l'intégrité, l'expert a retenu un taux de 10% pour les troubles liés à l'entorse de l'articulation tibio-tarsienne et de l'instabilité sous astra- galienne et de 5% pour la lésion du nerf saphène. Dès lors que le lien de causalité naturelle entre lesdites troubles et les accidents survenus durant l'année 2002 a été établi, ce taux de 15% sera également retenu. Il résulte de ce qui précède que les décision et décision sur opposition des 24 jan- vier et 10 juillet 2006 seront annulées dans le sens des considérants. L'intimée qui succombe sera condamnée au versement d’une indemnité à titre de dépens.</w:t>
      </w:r>
    </w:p>
    <w:p>
      <w:r>
        <w:t>A/3693/2006 - 17/17 -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