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ATAS/1424/2008 vom 26. November 2008</w:t>
      </w:r>
    </w:p>
    <w:p>
      <w:r>
        <w:t>GE Cour de justice, 2008-11-26, FR</w:t>
      </w:r>
    </w:p>
    <w:p>
      <w:r>
        <w:rPr>
          <w:b/>
        </w:rPr>
        <w:t xml:space="preserve">Quelle: </w:t>
      </w:r>
      <w:r>
        <w:t>https://mcp.opencaselaw.ch/entscheid/ge_gerichte_ATAS_1424_2008</w:t>
      </w:r>
    </w:p>
    <w:p>
      <w:r>
        <w:t>FR: GE_GERICHTE ATAS/1424/2008 du 26 novembre 2008</w:t>
      </w:r>
    </w:p>
    <w:p>
      <w:r>
        <w:t>IT: GE_GERICHTE ATAS/1424/2008 del 26 novembre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délai et forme prescrits par la loi, le recours est recevable (art. 56 ss LPGA).</w:t>
      </w:r>
    </w:p>
    <w:p>
      <w:r>
        <w:rPr>
          <w:b/>
        </w:rPr>
        <w:t>E. 3</w:t>
      </w:r>
    </w:p>
    <w:p>
      <w:r>
        <w:t>L'objet du litige porte sur la suspension de 20 jours du droit à l'indemnité de chômage.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a LACI, l’assuré a l’obligation, lorsque l’autorité compétente le lui enjoint, de participer aux mesures relatives au marché du travail propres à améliorer son aptitude au placement.</w:t>
      </w:r>
    </w:p>
    <w:p>
      <w:r>
        <w:t>A/3113/2008 - 6/8 -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Aux termes de l'art. 45 al. 2 de l'ordonnance sur l'assurance-chômage obligatoire et l'indemnité en cas d'insolvabilité du 31 août 1983 (OACI), la durée de la suspension est de un à quinze jours en cas de faute légère (let. a), de seize à trente jours en cas de faute de gravité moyenne (let. b) et de trente-et-un à soixante jours en cas de faute grave (let c). Il résulte du barème des suspensions établi par le Secrétariat d’Etat à l’économie (SECO) que lorsque l’assuré abandonne un emploi temporaire, l’autorité doit infliger une sanction de 16 à 20 jours lors du premier manquement et de 24 à 30 jours lors du second manquement (circulaire relative à l’indemnité de chômage, janvier 2007, ch. D72). Le Tribunal de céans doit se limiter à examiner si l'administration a fait un usage critiquable de son pouvoir d'appréciation (ATF du 16 avril 2008, 8C 316/07). Selon la circulaire précitée (ch. D64), la durée de la suspension doit par ailleurs être fixée en tenant compte de toutes les circonstances du cas particulier, telles que le mobile, les circonstances personnelles (âge, état civil, état de santé, dépendance éventuelle, environnement social, etc.), les circonstances particulières (comportement de l'employeur ou des collègues de travail, climat de travail) et des fausses hypothèses quant à l'état de fait (par exemple quant à la certitude d'obtenir un nouvel emploi).</w:t>
      </w:r>
    </w:p>
    <w:p>
      <w:r>
        <w:rPr>
          <w:b/>
        </w:rPr>
        <w:t>E. 5</w:t>
      </w:r>
    </w:p>
    <w:p>
      <w:r>
        <w:t>En l'espèce, il n'est pas contesté que le recourant a interrompu le premier jour la mesure ETFI. Ainsi, selon le barèmes du SECO susmentionné, un tel manquement constitue une faute moyenne justifiant une suspension du droit à l'indemnité de chômage de 16 à 20 jours. Il convient toutefois d'examiner si les circonstances du cas d'espèce font apparaître cette faute comme étant légère ou, en cas de confirmation de la faute moyenne, s'il y a lieu d'appliquer la limite inférieure du barème prévu pour une telle faute. Le recourant fait valoir à cet égard que sa mère était gravement malade et hospitalisée. Il peut ainsi lui être concédé que son état psychique était selon toute vraisemblance fragilisé et qu'il n'a pas toujours pu réagir de façon adéquate de ce fait. Il n'en demeure pas moins qu'objectivement, la demande de l'employeur d'établir la réalité de la maladie et de l'hospitalisation de sa mère par un certificat médical doit être considérée comme justifiée, notamment lorsqu'il s'agit d'un nouvel employé, avec lequel une relation de confiance n'a pas encore pu naître. Par ailleurs, on ne comprend pas pourquoi le recourant devait absolument voir sa mère à midi. Il avait en effet encore toute la soirée à sa disposition pour s'occuper d'elle.</w:t>
      </w:r>
    </w:p>
    <w:p>
      <w:r>
        <w:t>A/3113/2008 - 7/8 - De surcroît, il pouvait être attendu de lui qu'il se montre particulièrement scrupuleux de respecter des consignes de l'employeur, s'agissant du premier jour de travail. Compte tenu de ces circonstances, le Tribunal de céans estime que la faute du recourant ne peut pas être qualifiée de légère. Cependant, en raison de la grave maladie de sa mère, il y a lieu d'abaisser la durée de la suspension au minimum de 16 jours prévu pour une faute moyenne.</w:t>
      </w:r>
    </w:p>
    <w:p>
      <w:r>
        <w:rPr>
          <w:b/>
        </w:rPr>
        <w:t>E. 6</w:t>
      </w:r>
    </w:p>
    <w:p>
      <w:r>
        <w:t>Au vu de ce qui précède, le recours sera partiellement admis.</w:t>
      </w:r>
    </w:p>
    <w:p>
      <w:r>
        <w:t>A/3113/2008 - 8/8 -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