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ATAS/1423/2012 vom 22. November 2012</w:t>
      </w:r>
    </w:p>
    <w:p>
      <w:r>
        <w:t>GE Cour de justice, 2012-11-22, FR</w:t>
      </w:r>
    </w:p>
    <w:p>
      <w:r>
        <w:rPr>
          <w:b/>
        </w:rPr>
        <w:t xml:space="preserve">Quelle: </w:t>
      </w:r>
      <w:r>
        <w:t>https://mcp.opencaselaw.ch/entscheid/ge_gerichte_ATAS_1423_2012</w:t>
      </w:r>
    </w:p>
    <w:p>
      <w:r>
        <w:t>FR: GE_GERICHTE ATAS/1423/2012 du 22 novembre 2012</w:t>
      </w:r>
    </w:p>
    <w:p>
      <w:r>
        <w:t>IT: GE_GERICHTE ATAS/1423/2012 del 22 novembre 2012</w:t>
      </w:r>
    </w:p>
    <w:p>
      <w:pPr>
        <w:pStyle w:val="Heading2"/>
      </w:pPr>
      <w:r>
        <w:t>Regeste</w:t>
      </w:r>
    </w:p>
    <w:p>
      <w:r>
        <w:t>Résumé: Lorsqu'une assurance complémentaire a pour but de couvrir les frais supplémentaires de traitement et de pension en cas de séjour hospitalier en division semi-privée liés à la maladie et que les conditions générales d'assurance excluent la couverture du risque « grossesse ou accouchement », les parties peuvent en principe considérer que les notions communes en matière d'assurance complémentaire et d'assurance de base ont la même signification. La jurisprudence assimile le traitement de troubles de la santé survenant au cours de la grossesse à une maladie alors que l'art. 29 LAMal n'alloue des prestations spécifiques de maternité que lorsque la grossesse se déroule sans complications. Par conséquent, l'assurée pouvait comprendre de bonne foi que cette clause d'exclusion vise exclusivement les cas de grossesse et d'accouchement se déroulant normalement et non pas celui d'une grossesse non-évolutive nécessitant un curetage évacuateur.</w:t>
      </w:r>
    </w:p>
    <w:p>
      <w:pPr>
        <w:pStyle w:val="Heading2"/>
      </w:pPr>
      <w:r>
        <w:t>Erwägungen</w:t>
      </w:r>
    </w:p>
    <w:p>
      <w:r>
        <w:rPr>
          <w:b/>
        </w:rPr>
        <w:t>E. 1</w:t>
      </w:r>
    </w:p>
    <w:p>
      <w:r>
        <w:t>a) Conformément à l'art. 134 al. 1 let. c de la loi sur l'organisation judiciaire, du 26 septembre 2010 (LOJ; RS E 2 05) en vigueur dès le 1er janvier 2011, la Chambre des assurances sociales de la Cour de justice connaît en instance unique des contestations relatives aux assurances complémentaires à l'assurance-maladie sociales prévue par la loi fédérale sur l'assurance-maladie, du 18 mars 1994 (LAMal; RS 832.10), relevant de la loi fédérale sur la contrat d'assurance, du 2 avril 1908 (LCA; RS 221.229.1). Sa compétence ratione materiae pour juger du cas d’espèce est ainsi établie. b/aa) L'art. 46a LCA prescrit que le for se définit selon la loi du 24 mars 2000 sur les fors (LFors). Depuis le 1er janvier 2011, la LFors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b/bb) Selon l'art. 132 al. 1 CPC, le tribunal fixe un délai pour la rectification des vices de forme telle que l'absence de signature ou de procuration. À défaut, l'acte n'est pas pris en considération. Toutefois, lorsque l'erreur est mineure ou ne prête pas à discussion, le juge la rectifie, d'office ou sur requête de son auteur, sans requérir de celui-ci qu'il la redresse formellement. Il en va ainsi de la désignation incomplète ou inexacte d'une partie qui ne laisse place à aucun doute (BOHNET, HALDY, JEANDIN, SCHWEIZER, TAPPY, Code de procédure civile commenté, 2011, n. 24 ad art. 132 CPC et les réf. citées).</w:t>
      </w:r>
    </w:p>
    <w:p>
      <w:r>
        <w:t>En l'espèce, la demande est dirigée contre "INTRAS Société du Groupe CSS, Service Clientèle Romandie, Route de la Pierre 22, 1024 Ecublens" en lieu et place d'INTRAS Assurance SA, société anonyme ayant son siège à Carouge (GE). Nonobstant cette erreur de désignation, il ne fait aucun doute que la demande est en réalité dirigée contre INTRAS Assurance SA qui, par ailleurs, s'est déterminée par acte du 12 mars 2012 sans invoquer l'informalité en question. En conséquence, la Cour de céans rectifiera d'office la désignation de la défenderesse.</w:t>
      </w:r>
    </w:p>
    <w:p>
      <w:r>
        <w:t>b/cc) La défenderesse ayant son siège dans le canton de Genève, la compétence ratione loci de la Cour de céans pour juger de la demande en paiement est par conséquent également donnée.</w:t>
      </w:r>
    </w:p>
    <w:p>
      <w:r>
        <w:t>c) L'art. 197 CPC prévoit que la procédure au fond est précédée d'une tentative de conciliation devant une autorité de conciliation. L'art. 198 CPC mentionne des exceptions à la tentative obligatoire de conciliation, notamment pour les instances cantonales uniques prévues par l'art. 5 CPC et les tribunaux spéciaux statuant en instance unique sur les litiges commerciaux que les cantons peuvent instituer en</w:t>
      </w:r>
    </w:p>
    <w:p>
      <w:r>
        <w:t>A/471/2012 - 5/13 -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w:t>
      </w:r>
    </w:p>
    <w:p>
      <w:r>
        <w:t>À Genève, le Tribunal de première instance est l'autorité compétente pour la tentative de conciliation (art. 86 al. 2 let. b LOJ).</w:t>
      </w:r>
    </w:p>
    <w:p>
      <w:r>
        <w:t>Néanmoins, la Cour de céans a jugé que c'était par une inadvertance évidente que le législateur fédéral n'avait pas mentionné à l'art. 198 let. f CPC les tribunaux statuant en tant qu'instance cantonale unique sur les litiges portant sur les assurances- maladie complémentaires, conformément à l'art. 7 CPC, et que cet oubli créait une situation contraire au but de la loi et était partant insatisfaisante. La Cour de céans a dès lors comblé cette lacune proprement dite et exempté également ces litiges de la procédure de conciliation obligatoire, à l'instar des autres instances cantonales uniques mentionnées à l'art. 198 let. f CPC (ATAS/577/2011 du 31 mai 2011, consid. 4).</w:t>
      </w:r>
    </w:p>
    <w:p>
      <w:r>
        <w:t>Par conséquent, la demande est directement recevable par-devant la Cour de céans.</w:t>
      </w:r>
    </w:p>
    <w:p>
      <w:r>
        <w:t>d) Pour le surplus, la demande en paiement respecte les réquisits de recevabilité prévus par l'art. 59 CPC.</w:t>
      </w:r>
    </w:p>
    <w:p>
      <w:r>
        <w:rPr>
          <w:b/>
        </w:rPr>
        <w:t>E. 2</w:t>
      </w:r>
    </w:p>
    <w:p>
      <w:r>
        <w:t>Le litige porte sur le montant à charge de la défenderesse, suite à l'hospitalisation de la demanderesse dans la division semi-privée d'une clinique privée du 5 au 6 juillet 2010.</w:t>
      </w:r>
    </w:p>
    <w:p>
      <w:r>
        <w:rPr>
          <w:b/>
        </w:rPr>
        <w:t>E. 3</w:t>
      </w:r>
    </w:p>
    <w:p>
      <w:r>
        <w:t>Pour les contestations relatives aux assurances complémentaires à l'assurance- maladie sociale au sens de la loi fédérale du 18 mars 1994 sur l'assurance-maladie (LAMal; RS 832.10), la procédure simplifiée s'applique quelle que soit la valeur litigieuse (art. 243 al. 2 CPC) et le tribunal établit les faits d'office (art. 247 al. 2 let. a CPC).</w:t>
      </w:r>
    </w:p>
    <w:p>
      <w:r>
        <w:t>La maxime inquisitoire prévue par l'art. 247 al. 2 CPC correspond au concept de maxime inquisitoire sociale ou atténuée, ou encore simple, développé par la doctrine et la jurisprudence à propos des dispositions fédérales spéciales abrogées au 1er janvier 2011 (cf. notamment l'art. 274d CO en matière de bail et l'art. 343 CO en matière de contrat de travail; cf. également l'art. 85 al. 2 de la loi fédérale du 17 décembre 2004 sur la surveillance des entreprises d'assurances - LSA; RS 961.01). La maxime inquisitoire prévue par l'art. 247 al. 2 CPC implique la possibilité pour le juge de se fonder sur tous les faits pertinents et établis, même si les parties ne les ont pas invoqués; BOHNET, HALDY, JEANDIN, SCHWEIZER, TAPPY, op. cit., n. 16 ad art. 243 et n. 17, 22 et 23 ad art. 247 CPC).</w:t>
      </w:r>
    </w:p>
    <w:p>
      <w:r>
        <w:t>A/471/2012 - 6/13 - Selon la jurisprudence rendue en matière de contrat de travail et de bail, le juge doit rechercher spontanément les faits, mais les parties sont tenues de collaborer activement à la procédure, notamment en lui présentant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130 III 102;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(ATF 4A_253/2007 du 13 novembre 2007, consid. 4.2).</w:t>
      </w:r>
    </w:p>
    <w:p>
      <w:r>
        <w:rPr>
          <w:b/>
        </w:rPr>
        <w:t>E. 4</w:t>
      </w:r>
    </w:p>
    <w:p>
      <w:r>
        <w:t>a)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(ATF 124 V 201 consid. 3d; ATAS/1104/2006). Les conditions générales, lorsqu'elles ont été incorporées au contrat, en font partie intégrante; elles doivent être interprétées selon les mêmes principes que les autres dispositions contractuelles (ATF 133 III 675 consid. 3.3 et ATF 122 III 118 consid. 2a ainsi que les références).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w:t>
      </w:r>
    </w:p>
    <w:p>
      <w:r>
        <w:t>A/471/2012 - 7/13 -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et ATF 130 III 417 consid. 3.2). Le sens d'un texte, apparemment clair, n'est certes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consid. 2.2.1). b) Dans le domaine particulier du contrat d'assurance, l'art. 33 LCA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(ATF 118 II 342 consid. 1a et ATF 116 II 189 consid. 2a ainsi que les références). Conformément au principe de la confiance, c'est à l'assureur qu'il incombe de délimiter la portée de l'engagement qu'il entend prendre et le preneur n'a pas à supposer des restrictions qui ne lui ont pas été clairement présentées (ATF 133 III 675 consid. 3.3). L'art. 33 LCA concrétise l'adage in dubio contra stipulatorem qui veut dire que, de façon subsidaire, soit lorsqu'il subsiste un doute sur le sens des dispositions rédigées par l'assureur, ainsi dans les conditions générales préformulées, celles-ci sont à interpréter en défaveur de leur auteur ("Unklarheitsregel"; ATF 122 III 118 consid. 2a; 119 II 368 consid. 4b; 118 II 342 consid. 1a). Selon la jurisprudence et la doctrine, pour que cette règle trouve à s'appliquer, il ne suffit pas que les parties soient en litige sur la signification à donner à une déclaration; encore faut-il que</w:t>
      </w:r>
    </w:p>
    <w:p>
      <w:r>
        <w:t>A/471/2012 - 8/13 - celle-ci puisse être comprise de différentes façons ("zweideutig") et qu'il soit impossible de lever le doute créé par les moyens d'une interprétation ordinaire (ATF 122 III 118 consid. 2d; 118 II 342 consid. 1a ainsi que les références). c) Comme leur nom l'indique, le but des assurances complémentaires à l'assurance- maladie sociale est clairement de compléter l'assurance obligatoire des soins. Dans ce contexte, l'art. 12 al. 2 LAMal dispose que "les caisse-maladie ont le droit de pratiquer, en plus de l'assurance-maladie sociale au sens de la présente loi, des assurances complémentaires; elles peuvent également pratiquer d'autres branches d'assurance, aux conditions et dans les limites fixées par le Conseil fédéral". Dans le cas particulier, une telle complémentarité ressort également de l'art. 1er ch. 1 des conditions spéciales de l'assurance OPTIMA+ (ci-après: CSA), qui prévoit que "la présente assurance complémentaire permet de couvrir les frais supplémentaires de traitement et de pension en cas de séjour hospitalier, selon la variante assurée (division privée = chambre à un lit ou semi-privés = chambre à plus d'un lit), dans un établissement hospitalier public ou privé". De plus, conformément à l'art. 16 ch. 1 CSA, "les prestations garanties dans les présentes conditions spéciales sont versées en plus de celles prévues par l'assurance obligatoire des soins LAMal conclue auprès d'INTRAS ou d'un autre assureur". d) Lorsqu'une assurance complémentaire a pour but d'offrir les mêmes prestations que la LAMal et de les compléter, les parties peuvent en principe considérer que les notions communes en matière d'assurances complémentaires et d'assurance de base ont la même signification (ATAS/529/2012 du 10 avril 2012, consid. 10a; voir également ATAS/772/2011 du 24 août 2011, consid. 7c). Dans l'assurance de base, l'art. 5 de la loi sur la partie générale du droit des assurances sociales du 6 octobre 2000 (ci-après: LPGA) dispose que la maternité comprend la grossesse et l'accouchement ainsi que la convalescence qui suit ce dernier. Une maternité se déroulant sans complications n'est pas considérée comme une maladie (ATF 127 V 271, 112 V 304; SVR 2005 KV No 5). Ainsi, "les examens de contrôle, effectués par un médecin ou une sage-femme ou prescrits par un médecin, pendant et après la grossesse" (art. 29 al. 2 let. a LAMal) sont considérés comme des "prestations spécifiques de maternité" (art. 29 al. 1 LAMal) pour lesquelles l'assureur ne peut exiger aucune participation de l'assurée (art. 64 al.</w:t>
      </w:r>
    </w:p>
    <w:p>
      <w:r>
        <w:rPr>
          <w:b/>
        </w:rPr>
        <w:t>E. 7</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w:t>
      </w:r>
    </w:p>
    <w:p>
      <w:r>
        <w:rPr>
          <w:b/>
        </w:rPr>
        <w:t>E. 8</w:t>
      </w:r>
    </w:p>
    <w:p>
      <w:r>
        <w:t>La demanderesse, représentée par un conseil, obtenant gain de cause, la défenderesse est condamnée à lui verser une indemnité de 1'000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b LaCC).</w:t>
      </w:r>
    </w:p>
    <w:p>
      <w:r>
        <w:t>A/471/2012 - 12/13 - PAR CES MOTIFS, LA CHAMBRE DES ASSURANCES SOCIALES : Statuant conformément à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