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ATAS/1423/2009 vom 18. November 2009</w:t>
      </w:r>
    </w:p>
    <w:p>
      <w:r>
        <w:t>GE Cour de justice, 2009-11-18, FR</w:t>
      </w:r>
    </w:p>
    <w:p>
      <w:r>
        <w:rPr>
          <w:b/>
        </w:rPr>
        <w:t xml:space="preserve">Quelle: </w:t>
      </w:r>
      <w:r>
        <w:t>https://mcp.opencaselaw.ch/entscheid/ge_gerichte_ATAS_1423_2009</w:t>
      </w:r>
    </w:p>
    <w:p>
      <w:r>
        <w:t>FR: GE_GERICHTE ATAS/1423/2009 du 18 novembre 2009</w:t>
      </w:r>
    </w:p>
    <w:p>
      <w:r>
        <w:t>IT: GE_GERICHTE ATAS/1423/2009 del 18 novembre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A/3983/2008 - 8/15 -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6 octobre 2008,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Le recours interjeté respectant les forme et délai prévus par la loi (art. 56 à 60 LPGA), sera déclaré recevable.</w:t>
      </w:r>
    </w:p>
    <w:p>
      <w:r>
        <w:rPr>
          <w:b/>
        </w:rPr>
        <w:t>E. 4</w:t>
      </w:r>
    </w:p>
    <w:p>
      <w:r>
        <w:t>Le litige porte sur le droit éventuel de la recourante à une rente d’assurance- invalidité. Il s’agit, singulièrement, de déterminer son statut et le taux d’invalidité qu’elle présente.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A/3983/2008 - 9/15 -</w:t>
      </w:r>
    </w:p>
    <w:p>
      <w:r>
        <w:rPr>
          <w:b/>
        </w:rPr>
        <w:t>E. 6</w:t>
      </w:r>
    </w:p>
    <w:p>
      <w:r>
        <w:t>a)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b)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d) L'invalidité des assurés qui n'exercent pas d'activité lucrative, en revanche, et dont on ne peut raisonnablement exiger qu'ils en entreprennent une est évaluée, en dérogation de la méthode ordinaire de comparaison des revenus, en fonction de l'incapacité d'accomplir leur travaux habituels. Par travaux habituels des personnes travaillant dans le ménage, il faut entendre notamment l'activité usuelle dans le ménage, l'éducation des enfants ainsi que toute activité artistique ou d'utilité publique. C'est la méthode spécifique (jusqu'au 31 décembre 2002: art. 28 al. 3 LAI en corrélation avec l'art. 27 al. 1 et 2 du règlement sur l'assurance-invalidité du 17 janvier 1961 - RAI; du 1er janvier au 31 décembre 2003: art. 28 al. 3 LAI en corrélation avec les art. 27 al. 1 et 2 RAI et 8 al. 3 LPGA; depuis le 1er janvier 2004: art. 28 al. 2bis LAI en corrélation avec les art. 27 RAI et 8 al. 3 LPGA). 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w:t>
      </w:r>
    </w:p>
    <w:p>
      <w:r>
        <w:t>A/3983/2008 - 10/15 - dans les deux activités en question. C'est la méthode mixte d'évaluation de l'invalidité (art. 28 al. 2 ter LAI en corrélation avec les art. 27bis al. 1 et 2 RAI et 8 al. 3 LPGA, ainsi que l'art. 16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 3.3 et les références, 104 V 136 consid. 2a). f)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(ATF 125 V 150 consid. 2c et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p. 360 s.). La notion de vraisemblance prépondérante signifie que l'existence d'un fait est plus vraisemblable que son absence (cf. ATF 111 V 374).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En l’occurrence, l’intimé a retenu que la recourante a un statut de personne sans activité lucrative et que son invalidité s’élève à 32.65%. La recourante conteste tant le statut d’assurée que le degré d’invalidité retenus par l’intimé. Dans le questionnaire servant à déterminer le statut des assurés daté du 10 juin 2008 ainsi que lors de l’enquête ménagère qui a eu lieu le 28 juillet 2008, la recourante a précisé que, si elle avait été en bonne santé, elle aurait travaillé à 100% depuis 2003 dans n’importe quelle activité, par intérêt personnel et besoin financier. Selon l’intimé, dans la mesure où la recourante n’a pas exercé d’activité lucrative avant</w:t>
      </w:r>
    </w:p>
    <w:p>
      <w:r>
        <w:t>A/3983/2008 - 11/15 - d’arriver en Suisse et qu’elle n’a fait aucune démarche de recherche d’emploi en Suisse, il y a plutôt lieu de retenir un statut de ménagère. Le Tribunal de céans est néanmoins d’avis que, même si la recourante n’a pas pu, en raison de ses troubles physiques et psychiques, entamer de recherches d’emploi en Suisse dès qu’elle en a eu le droit, sa volonté de travailler à plein temps - si elle avait été en bonne santé - apparaît comme hautement vraisemblable. En effet, il ressort des explications fournies par la recourante, confirmées de manière convaincante par son époux lors de son audition le 8 avril 2009, qu’une fois en Suisse, la recourante a demandé à pouvoir travailler. Les services sociaux lui ont alors proposé de faire des travaux de nettoyage dans l’immeuble où elle logeait, pour 300 fr. par mois, ce qu’elle a fait pendant quelques mois, son état de santé l’empêchant cependant de continuer cette activité. En outre, il apparaît que depuis leur arrivée en Suisse, la recourante et son époux sont dans une situation financière précaire, puisqu’ils ont bénéficié d’une aide de l’Hospice général jusqu’en 2007, qu’ils vivent depuis 2008 sur le seul salaire du mari (4'160 fr. par mois) et que leur fils unique, en études en Serbie, est encore à leur charge. Qui plus est, il apparaît que malgré les discriminations ethniques dont a été victime la recourante en Serbie - en tant que minorité Rom - elle a tout de même réussi à travailler dans des activités simples en agriculture, et ce même lorsque son enfant était petit. Le Tribunal de céans relèvera que les déclarations faites par la recourante, quant à l’exercice d’une activité lucrative avant sa venue en Suisse, ont été confirmées par son mari lors de son audition le 8 avril 2009. De surcroît, elles ressortent également du rapport du 25 juin 2007 établi par le Dr L__________, psychiatre traitant. L’intimé fait valoir que le statut d’actif ne peut pas être retenu au motif que la recourante n’a pas toujours travaillé à plein temps en Serbie (procès-verbal de comparution personnelle des parties du 8 avril 2009, p. 2). Contrairement à ce que pense l’intimé, ce fait n’est en l’occurrence pas pertinent puisque la question du statut doit être tranchée sur la base de la situation telle qu'elle s'est développée jusqu'au moment où l'administration a pris sa décision (ATF 130 V 396 consid. 3.3, 125 V 150 consid. 2c, 117 V 194 consid. 3b et les références), soit en l’espèce le 6 octobre 2008. Or, à ce moment-là, la recourante était installée depuis plus de cinq ans en Suisse - pays où elle a migré avec son mari avec l’espoir de pouvoir apporter un soutien financier à leur fils resté en Serbie (rapport du 25 juin 2007 du Dr L__________) -, le couple vivait alors sur le seul salaire du mari et arrivait tout juste à payer les charges courantes. En outre, la recourante et son mari devaient quitter leur appartement et craignaient de ne pouvoir retrouver un logement à un prix acceptable (rapport d’enquête ménagère du 28 juillet 2008). Compte tenu de l’ensemble de ces éléments, auquel on ajoutera encore le jeune âge de la recourante - 40 ans au moment de la décision litigieuse -, il apparaît au degré de la vraisemblance prépondérante que, sans atteinte à la santé, l’intéressée aurait</w:t>
      </w:r>
    </w:p>
    <w:p>
      <w:r>
        <w:t>A/3983/2008 - 12/15 - travaillé à 100%. Eu égard à sa méconnaissance du français, elle se serait probablement contentée d’exercer une activité simple, ne demandant aucune formation spéciale. Le statut de la recourante est, partant, celui d’active et non de ménagère, comme l’a retenu à tort l’intimé dans sa décision litigieuse.</w:t>
      </w:r>
    </w:p>
    <w:p>
      <w:r>
        <w:rPr>
          <w:b/>
        </w:rPr>
        <w:t>E. 8</w:t>
      </w:r>
    </w:p>
    <w:p>
      <w:r>
        <w:t>Il convient encore de déterminer le degré d’invalidité que présente la recourante en raison de ses atteintes à la santé physique et psychique. Dans sa décision litigieuse, l’intimé a retenu, sur la base des conclusions du SMR, qu’en raison des affections dont souffre la recourante, la capacité de travail de cette dernière s’est considérablement restreinte depuis le mois de novembre 2004 et qu’elle est nulle dans toute activité. Ce point, qui n’est pas contesté dans le cadre du présent recours, n’est, quoi qu’il en soit, pas contestable au vu des rapports médicaux concordants versés au dossier. Compte tenu de l’absence de capacité de travail résiduelle, la recourante présente donc une incapacité de gain totale, soit un degré d’invalidité de 100%. C’est par conséquent à tort que l’intimé à retenu un degré d’invalidité de 32.65% dans sa décision litigieuse. Le Tribunal de céans relèvera que, quand bien même un degré d’invalidité de 100% donne droit, en principe, au versement d’une rente entière (art. 28 al. 1 LAI), il ne saurait cependant statuer, en l’état, sur un tel droit. En effet, il y a lieu de constater que l’intimé ne s’est pas prononcé, dans le cadre de la décision litigieuse, sur la question de savoir si la recourante remplit les conditions d’assurance posées par l’art. 6 al. 3 LAI, aux termes duquel, les étrangers ont droit aux prestations, sous réserve de l'art. 9 al. 2 LAI, aussi longtemps qu'ils conservent leur domicile et leur résidence habituelle en Suisse, mais seulement s'ils comptent, lors de la survenance de l'invalidité, au moins une année entière de cotisation (cf. art. 36 al. 1 LAI) ou dix années de résidence ininterrompue en Suisse (ATF 126 V 5 consid. 1a), étant précisé que demeurent toutefois réservées les dispositions dérogatoires des conventions bilatérales de sécurité sociale conclues par la Suisse avec un certain nombre d'États pour leurs ressortissants respectifs. En l’occurrence, dans la mesure où la recourante est originaire de la République de Serbie, qu’elle est arrivée en Suisse en juillet 2003 et que, de surcroît, la Convention du 8 juin 1962 entre la Confédération suisse et la République populaire fédérative de Yougoslavie relative aux assurances sociales, entrée en vigueur le 1er mars 1964, est applicable aux ressortissants de la République de Serbie, le dossier doit être renvoyé à l’intimé afin qu’il se prononce sur la question des conditions d’assurance.</w:t>
      </w:r>
    </w:p>
    <w:p>
      <w:r>
        <w:t>A/3983/2008 - 13/15 -</w:t>
      </w:r>
    </w:p>
    <w:p>
      <w:r>
        <w:rPr>
          <w:b/>
        </w:rPr>
        <w:t>E. 9</w:t>
      </w:r>
    </w:p>
    <w:p>
      <w:r>
        <w:t>En conclusion, le recours sera admis et la décision litigieuse, qui retient une invalidité de 32.65%, sera annulée. L’intimé sera invité à examiner si la recourante remplit les conditions d’assurance à l’octroi de prestations, à la suite de quoi il rendra une nouvelle décision dans les meilleurs délais. La recourante, qui obtient gain de cause, a droit à une indemnité à titre de participation à ses frais et dépens, que le Tribunal fixe en l'espèce à 2’500 fr. (art. 61 let. g LPGA ; art. 89H al. 3 LPA). L'intimé sera par ailleurs condamné à un émolument de 1’000 fr. (art. 69 al. 1 bis LAI).</w:t>
      </w:r>
    </w:p>
    <w:p>
      <w:r>
        <w:t>A/3983/2008 - 14/15 -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