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ATAS/1422/2009 vom 18. November 2009</w:t>
      </w:r>
    </w:p>
    <w:p>
      <w:r>
        <w:t>GE Cour de justice, 2009-11-18, FR</w:t>
      </w:r>
    </w:p>
    <w:p>
      <w:r>
        <w:rPr>
          <w:b/>
        </w:rPr>
        <w:t xml:space="preserve">Quelle: </w:t>
      </w:r>
      <w:r>
        <w:t>https://mcp.opencaselaw.ch/entscheid/ge_gerichte_ATAS_1422_2009</w:t>
      </w:r>
    </w:p>
    <w:p>
      <w:r>
        <w:t>FR: GE_GERICHTE ATAS/1422/2009 du 18 novembre 2009</w:t>
      </w:r>
    </w:p>
    <w:p>
      <w:r>
        <w:t>IT: GE_GERICHTE ATAS/1422/2009 del 18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w:t>
      </w:r>
    </w:p>
    <w:p>
      <w:r>
        <w:t>A/4540/2008 - 8/15 - 830.1)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13 novembre 2008, est postérieure à l'entrée en vigueur de la LPGA ainsi qu’à l'entrée en vigueur, le 1er janvier 2004, des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la forme et le délai prescrits par la loi, le recours est recevable (art. 56 ss LPGA).</w:t>
      </w:r>
    </w:p>
    <w:p>
      <w:r>
        <w:rPr>
          <w:b/>
        </w:rPr>
        <w:t>E. 4</w:t>
      </w:r>
    </w:p>
    <w:p>
      <w:r>
        <w:t>Il n’est pas contesté que le recourant a droit à une rente entière de l’assurance- invalidité du 27 octobre 2005 au 30 novembre 2006. Le litige porte sur le point de savoir si l’invalidité du recourant s’est modifiée de telle manière à réduire son droit à un quart de rente à compter du 1er décembre 2006.</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w:t>
      </w:r>
    </w:p>
    <w:p>
      <w:r>
        <w:t>A/4540/2008 - 9/15 -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A/4540/2008 - 10/15 -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9</w:t>
      </w:r>
    </w:p>
    <w:p>
      <w:r>
        <w:t>En l’espèce, le recourant est d’avis qu’en raison de son atteinte à l’épaule gauche, son incapacité de travail totale perdure au-delà du 30 novembre 2006. L’intimé</w:t>
      </w:r>
    </w:p>
    <w:p>
      <w:r>
        <w:t>A/4540/2008 - 11/15 - considère quant à lui que dès le 1er décembre 2006, l’état de santé du recourant lui permet d’exercer une activité adaptée à 63%. Il ressort des avis médicaux recueillis par l’intimé que le recourant, gaucher, a présenté à l’épaule gauche un conflit sous-acromial et une arthrose acromio- claviculaire, qui ont entraîné une incapacité de travail totale dès le 26 octobre 2004. Sur les conseils du Dr D_________, médecin spécialisé en chirurgie orthopédique, le recourant a subi le 10 août 2006, une acromioplastie et une suture de la coiffe des rotateurs de l’épaule gauche. S’agissant des questions - déterminantes en l’espèce - des troubles à l’épaule que présente encore le recourant après l’intervention chirurgicale du 10 août 2006, des éventuelles limitations fonctionnelles que ces troubles entraînent ainsi que de leurs répercussions sur la capacité de travail du recourant, le Tribunal de céans constate l’absence de rapport médical probant portant sur ces points. On ne saurait en effet accorder un poids décisif, comme le fait l’intimé, au rapport d’expertise établi 23 janvier 2006 par le Dr F________, dès lors que ce médecin a apprécié l’état de santé présenté par le recourant avant qu’il ne subisse l’opération précitée. Selon l’intimé, l’avis du Dr F________ serait cependant toujours d’actualité dans la mesure où le Dr E________ n’a constaté, après l’opération, aucune amélioration de l’état de santé du recourant. Or, le Tribunal de céans constate que les amplitudes articulaires semblent s’être fortement péjorées après l’opération (abduction à 90°, antéflexion à 140°, rotations antérieures et postérieures très limitées, courrier du 24 juillet 2008 du Dr E________), au vu de celles relevées avant l’intervention chirurgicale (abduction à 180°, antépulsion 180°, rotation externe 45° des deux côtés, rapport du 23 janvier 2006 du Dr F________). Le Tribunal de céans ne saurait donc, sans autre, retenir que les conclusions du Dr F________ sont valables également pour la période postérieure à l’intervention chirurgicale. Par ailleurs, on ne saurait, non plus, se fonder sur les seuls rapports établis par le Dr E________, dont l’appréciation, émise en qualité de médecin traitant, doit être abordée avec précaution. Qui plus est, le Dr E________, qui n’est au demeurant pas spécialisé en orthopédie, se contente d’attester brièvement qu’une reprise d’activité professionnelle n’est pas envisageable, sans apporter une véritable motivation à cet égard. En outre, les conclusions émanant du Dr H________, psychiatre traitant, ne sont pas déterminantes en l’espèce dès lors que ce médecin se prononce sur des affections d’ordre somatique, lesquelles ne relèvent pas de sa spécialisation. Enfin, l’avis du médecin conseil de l’intimé, le Dr G________, ne saurait-il valablement fonder l’exigibilité de la mise en valeur de la capacité de travail résiduelle du recourant suite à l’intervention chirurgicale, dès lors que ce médecin,</w:t>
      </w:r>
    </w:p>
    <w:p>
      <w:r>
        <w:t>A/4540/2008 - 12/15 - qui n’a pas examiné le recourant, se fonde sur un dossier dans lequel ne figure aucun élément utile permettant une appréciation adéquate de la situation médicale du recourant. A défaut d’informations fiables et suffisantes sur les troubles que présente encore le recourant après l’intervention chirurgicale, sur sa capacité de travail ainsi que sur la mesure dans laquelle une activité est exigible de sa part, dans quelles conditions et à quel taux, il convient de renvoyer le dossier à l’intimé pour instruction complémentaire et mise en œuvre d’une expertise orthopédique, qui sera confiée à un spécialiste externe chargé de répondre à ces questions. Par ailleurs, on rappellera à l’intimé qu’en cas d'allocation d'une rente dégressive ou temporaire, la date de la modification du droit (diminution ou suppression de la rente) doit être fixée conformément à l'art. 88a al. 1 RAI (ATF 125 V 417 consid. 2d; RCC 1984 p. 137). L'article 88bis al. 2 RAI n'est en effet pas applicable dans cette éventualité, du moment que l'on n'est pas en présence d'une révision de la rente au sens strict (VSI 2001 p. 158 consid. 3c; RCC 1983 p. 489 consid. 2b; ATF 106 V 16). Selon l'art. 88a al. 1 RAI, dans sa teneur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dans la mesure où le recourant a subi une intervention chirurgicale le 10 août 2006 et qu’une convalescence d’en tout cas trois à quatre mois est nécessaire (Dr G________, avis du 8 janvier 2007), une éventuelle amélioration quant à sa capacité de gain n’a pas pu débuter avant décembre 2006. Il s’ensuit qu’une réduction éventuelle de la rente ne pourrait prendre effet, quoi qu’il en soit, avant le mois de mars 2007. Compte tenu de ce qui précède, l’intimé a réduit à tort la rente entière dès le mois de décembre 2006 et le recourant doit se voir accorder une rente entière jusqu’à fin février 2007.</w:t>
      </w:r>
    </w:p>
    <w:p>
      <w:r>
        <w:rPr>
          <w:b/>
        </w:rPr>
        <w:t>E. 10</w:t>
      </w:r>
    </w:p>
    <w:p>
      <w:r>
        <w:t>Le recours sera par conséquent partiellement admis, la décision du 13 novembre 2008 sera annulée en tant qu’elle limite le droit de la rente à un quart de rente dès le 1er décembre 2006 et la cause renvoyée à l’intimé qui complètera l’instruction, en mettant en œuvre une expertise orthopédique, et qui, cela fait, rendra une nouvelle décision dans les meilleurs délais.</w:t>
      </w:r>
    </w:p>
    <w:p>
      <w:r>
        <w:t>A/4540/2008 - 13/15 - Le recourant, qui obtient gain de cause, a droit à une indemnité à titre de participation à ses frais et dépens, que le Tribunal fixe en l'espèce à 2’500 fr. (art. 61 let. g LPGA ; art. 89H al. 3 LPA). L'intimé sera par ailleurs condamné à un émolument de 1’000 fr. (art. 69 al. 1 bis LAI).</w:t>
      </w:r>
    </w:p>
    <w:p>
      <w:r>
        <w:t>A/4540/2008 - 14/15 -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