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ATAS/1421/2012 vom 27. November 2012</w:t>
      </w:r>
    </w:p>
    <w:p>
      <w:r>
        <w:t>GE Cour de justice, 2012-11-27, FR</w:t>
      </w:r>
    </w:p>
    <w:p>
      <w:r>
        <w:rPr>
          <w:b/>
        </w:rPr>
        <w:t xml:space="preserve">Quelle: </w:t>
      </w:r>
      <w:r>
        <w:t>https://mcp.opencaselaw.ch/entscheid/ge_gerichte_ATAS_1421_2012</w:t>
      </w:r>
    </w:p>
    <w:p>
      <w:r>
        <w:t>FR: GE_GERICHTE ATAS/1421/2012 du 27 novembre 2012</w:t>
      </w:r>
    </w:p>
    <w:p>
      <w:r>
        <w:t>IT: GE_GERICHTE ATAS/1421/2012 del 27 novembre 2012</w:t>
      </w:r>
    </w:p>
    <w:p>
      <w:pPr>
        <w:pStyle w:val="Heading2"/>
      </w:pPr>
      <w:r>
        <w:t>Erwägungen</w:t>
      </w:r>
    </w:p>
    <w:p>
      <w:r>
        <w:rPr>
          <w:b/>
        </w:rPr>
        <w:t>E. 1</w:t>
      </w:r>
    </w:p>
    <w:p>
      <w:r>
        <w:t>Prend acte de la décision rendue par l’intimée le 12 novembre 2012, reconsidérant ses décisions des 29 juin 2012 et 30 juillet 2012, en ce sens que les troubles de la cheville consécutifs à l'accident du 30 mai 2011 sont à la charge de l'intimée au- delà du 26 septembre 2012, à l'exception de l'algodystrophie de la cheville droite diagnostiquée le 9 décembre 2011.</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