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ATAS/1420/2009 vom 16. November 2009</w:t>
      </w:r>
    </w:p>
    <w:p>
      <w:r>
        <w:t>GE Cour de justice, 2009-11-16, FR</w:t>
      </w:r>
    </w:p>
    <w:p>
      <w:r>
        <w:rPr>
          <w:b/>
        </w:rPr>
        <w:t xml:space="preserve">Quelle: </w:t>
      </w:r>
      <w:r>
        <w:t>https://mcp.opencaselaw.ch/entscheid/ge_gerichte_ATAS_1420_2009</w:t>
      </w:r>
    </w:p>
    <w:p>
      <w:r>
        <w:t>FR: GE_GERICHTE ATAS/1420/2009 du 16 novembre 2009</w:t>
      </w:r>
    </w:p>
    <w:p>
      <w:r>
        <w:t>IT: GE_GERICHTE ATAS/1420/2009 del 16 novembre 2009</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w:t>
      </w:r>
    </w:p>
    <w:p>
      <w:r>
        <w:t>A/2302/2009 - 7/16 -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26 octobre 2006. La LPGA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13 mars 2009, qui a été confirmé par la décision du 26 mai 2009, contre laquelle l'assuré a interjeté directement recours devant le Tribunal de céans le 2 juillet 2009. c) Interjeté dans les forme et délai prévus par la loi, devant l'autorité compétente, le recours est en conséquence recevable (art. 56 ss LPGA).</w:t>
      </w:r>
    </w:p>
    <w:p>
      <w:r>
        <w:t>A/2302/2009 - 8/16 -</w:t>
      </w:r>
    </w:p>
    <w:p>
      <w:r>
        <w:rPr>
          <w:b/>
        </w:rPr>
        <w:t>E. 3</w:t>
      </w:r>
    </w:p>
    <w:p>
      <w:r>
        <w:t>L'objet du litige porte sur le droit de la recourante à une rente de l'assurance- 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w:t>
      </w:r>
    </w:p>
    <w:p>
      <w:r>
        <w:t>A/2302/2009 - 9/16 - incapacité de travail de même origine, on déduira de la période d’attente que lui imposerait l’art. 29, al. 1, LAI, celle qui a précédé le premier octroi.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6</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A/2302/2009 - 10/16 -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w:t>
      </w:r>
    </w:p>
    <w:p>
      <w:r>
        <w:t>A/2302/2009 - 11/16 -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 9C 437/08 du 19 mars 2009). Il y a lieu de se placer au moment de la naissance du droit à la rente pour déterminer l'exigibilité d'un changement d'activité (ATF du 14 juillet 2008 9C 612/07). Dans l'arrêt précité (9C 437/08 du 19 mars 2007), le Tribunal fédéral a considéré que l'assurée, âgée de 61 ans et 1 mois au moment déterminant où la décision litigieuse avait été rendue par l'OCAI, qui présentait d'importantes limitations fonctionnelles (activité sédentaire, privilégiant la position assise et les déplacements plutôt à plat sans inclinaison vers l'avant, ni port de charge supérieurs à 5 kilos) - entraînant une capacité de travail de 50 % dans une activité adaptée et une entrave dans l'accomplissement des travaux habituels de 30 %, soit un degré d'invalidité de 35 %, - ne présentait pas les facultés d'adaptation nécessaires pour une reconversion professionnelle dans une activité adaptée à ses limitations fonctionnelles. En conséquence, elle présentait une invalidité totale sur le plan professionnel. De même, le Tribunal fédéral a jugé qu'il parait difficile d'exiger d'un assuré de près de 60 ans d'abandonner son activité indépendante pour exercer une activité salariée adaptée à ses limitations fonctionnelles (arrêt du Tribunal fédéral du 14 juillet 2008 9C 612/07), ou d'un assuré de 64 ans et demi, sans expérience professionnelle d'exercer une nouvelle activité adaptée (ATFA du 27 juillet 2005 I 61/05) ou encore pour un assuré de 63 ans d'abandonner son emploi à 50 % pour rechercher un emploi adapté à 100 % (ATF du 6 décembre 2007, I 1034/06). En revanche, le Tribunal fédéral a admis que la mise en valeur d'une capacité de travail de 100 % dans une activité adaptée à l'état de santé d'un assuré de 60 ans et 2 mois était objectivement exigible (ATF du 27 janvier 2009 9C 393/2008).</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A/2302/2009 - 12/16 -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w:t>
      </w:r>
    </w:p>
    <w:p>
      <w:r>
        <w:t>A/2302/2009 - 13/16 -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l'OCAI a retenu un degré d'invalidité de 30 % en se fondant sur le rapport du SMR du 16 février 2009, lequel conclut à une capacité de travail de la recourante de 70 % dans l'activité habituelle d'employée de banque ou toute autre activité adaptée. Ce rapport médical répond aux critères jurisprudentiels pour qu'il lui soit reconnu une pleine valeur probante. En particulier, du point de vue rhumatologique, il n'est remis en cause par aucun autre avis médical au dossier. En effet, l'appréciation médicale du médecin-conseil de la SUVA du 13 juin 2008 rejoint, quant aux</w:t>
      </w:r>
    </w:p>
    <w:p>
      <w:r>
        <w:t>A/2302/2009 - 14/16 - limitations fonctionnelles, celles relevées dans le rapport du SMR, étant précisé que la SUVA n'a tenu compte que des limitations liées aux suites de l'accident du 20 octobre 2001 de sorte que celles mentionnées par les médecins du SMR sont plus sévères (notamment pas de position statique prolongée assise, en rotation flexion du tronc et en porte-à-faux, pas de travail à la chaîne ou sur machines vibrantes). Par ailleurs, interpellé au sujet du rapport du SMR précité, le Dr B________ a répondu le 11 septembre 2009 qu'il était d'accord avec le diagnostic posé. En revanche, son appréciation de la capacité de travail différait de celle du SMR pour des raisons de fatigabilité, d'efficience et de douleurs chroniques et du fait qu'il estimait qu'à 62 ans le droit à la retraite était plus approprié. Cette appréciation divergente de la capacité de travail de la recourante, peu motivée médicalement, n'est cependant pas de nature à remettre en cause la conclusion du rapport rhumatologique du SMR quant à la capacité de travail de la recourante. Enfin, il est a relever que la prise en compte par les médecins du SMR des critères jurisprudentiels applicables pour déterminer le caractère invalidant d'un trouble somatoforme douloureux ou d'une fibromyalgie (ATF 131 V 49 et 132 V 65), cités en raison d'un tableau algique, n'est pas pertinente, en l'absence dans le cas d'espèce des diagnostics précités. Cette appréciation n'a cependant aucune incidence sur la conclusion du rapport du SMR, en particulier sur les limitations fonctionnelles retenues. Du point de vue psychiatrique, le SMR a retenu une dysthymie (F34.1) sans répercussion sur la capacité de travail. Interpellée au sujet de cette appréciation, la Dresse JELENIC a attesté le 14 septembre 2009 que la recourante avait repris un suivi psychothérapeutique depuis le 3 août 2009, que le diagnostic actuel était celui d'état dépressif moyen F33.1 et de trouble de la personnalité émotionnelle labile type borderline F60.31 entraînant, depuis le 3 août 2009, une incapacité de travail totale en raison d'une fatigue importante, d'une perte d'élan vital, de difficultés à entreprendre des actions concrètes et à faire des projets d'avenir, des angoisses invalidantes et des troubles du sommeil. En 2007, l'assurée avait présenté des symptômes d'un état dépressif, lequel s'était vite stabilisé sous traitement. Il ressort de cette appréciation que l'état de santé psychique de la recourante semble s'être péjoré depuis août 2009, soit postérieurement, d'une part, à l'appréciation médicale du SMR du 16 février 2009 et, d'autre part et surtout, à la décision litigieuse du 26 mai 2009, de sorte que ces éléments médicaux nouveaux ne pourront être pris en compte que dans le cadre d'une demande de révision, le Tribunal de céans étant lié par les faits survenus jusqu'au jour de la décision litigieuse, objet du présent litige (ATF 131 V 242). En conséquence, du point de vue psychiatrique, aucun élément médical ne permet de mettre en doute les conclusions du rapport du SMR du 16 février 2009. Partant, conformément à celles-ci, la recourante doit être reconnue comme capable de travailler à 70 % dans son ancienne activité ou toute autre activité adaptée depuis le 24 juin 2006, étant précisé que la recourante a été en incapacité de travail totale du</w:t>
      </w:r>
    </w:p>
    <w:p>
      <w:r>
        <w:t>A/2302/2009 - 15/16 - 20 octobre 2001 jusqu'au 31 octobre 2003 selon l'instruction menée par la SUVA, puis reconnue capable de travailler à 100 % depuis le 1er novembre 2003. Reste à examiner si, au vu de la jurisprudence précitée, (consid. 6b) et de l'âge de la recourante, soit 61 ans et 5 mois au jour de la décision de l'OCAI, cette dernière peut encore être considérée comme capable d'exploiter sa capacité de gain sur le marché du travail. A cet égard et contrairement aux cas précités dans lesquels le Tribunal fédéral a admis une invalidité totale des intéressés, la recourante dispose d'une capacité de travail de 70 % dans son activité habituelle, de sorte qu'elle n'est pas confrontée à la nécessité de se réadapter professionnellement. On ne saurait, en conséquence, conclure dans le cas d'espèce à l'impossibilité pour la recourante de retrouver un emploi à 70 % dans l'activité habituelle. En revanche, la recourante a la possibilité de déposer une demande de révision, au vu du rapport de la Dresse I______ du 14 septembre 2009 et l'intimé se devra dans le cadre d'une nouvelle décision, d'examiner, vu l'âge de la recourante, l'application de cette jurisprudence précitée (consid. 6b SUPRA). En conséquence, la recourante, a été totalement incapable de travailler du 20 octobre 2001 au 31 octobre 2003, puis capable de travailler à 100 % depuis le 1er novembre 2003 et, enfin, à 70 % depuis le 24 juin 2006. Elle aurait ainsi uniquement droit à une rente entière d'invalidité du 1er octobre 2002 au 31 janvier 2004. Sa demande du 26 octobre 2006 est toutefois tardive (art. 48 al. 1 LAI dans sa teneur en vigueur jusqu'au 31 décembre 2007, les conditions d'une restitution du délai n'étant pas remplies - ATF 100 V 114, 108 V 226 et 102 V 112) de sorte que la décision de refus de l'OCAI du 26 mai 2009 doit être confirmée.</w:t>
      </w:r>
    </w:p>
    <w:p>
      <w:r>
        <w:rPr>
          <w:b/>
        </w:rPr>
        <w:t>E. 9</w:t>
      </w:r>
    </w:p>
    <w:p>
      <w:r>
        <w:t>Au vu de ce qui précède, le recours est mal fondé et il doit être rejeté.</w:t>
      </w:r>
    </w:p>
    <w:p>
      <w:r>
        <w:t>A/2302/2009 - 16/16 -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