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ATAS/141/2024 vom 4. März 2024</w:t>
      </w:r>
    </w:p>
    <w:p>
      <w:r>
        <w:t>GE Cour de justice, 2024-03-04, FR</w:t>
      </w:r>
    </w:p>
    <w:p>
      <w:r>
        <w:rPr>
          <w:b/>
        </w:rPr>
        <w:t xml:space="preserve">Quelle: </w:t>
      </w:r>
      <w:r>
        <w:t>https://mcp.opencaselaw.ch/entscheid/ge_gerichte_ATAS_141_2024</w:t>
      </w:r>
    </w:p>
    <w:p>
      <w:r>
        <w:t>FR: GE_GERICHTE ATAS/141/2024 du 4 mars 2024</w:t>
      </w:r>
    </w:p>
    <w:p>
      <w:r>
        <w:t>IT: GE_GERICHTE ATAS/141/2024 del 4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du recourant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6</w:t>
      </w:r>
    </w:p>
    <w:p>
      <w:r>
        <w:t>Le litige porte sur la quotité du droit à la rente d’invalidité à laquelle le recourant a droit de la part de l’intimée.</w:t>
      </w:r>
    </w:p>
    <w:p>
      <w:r>
        <w:rPr>
          <w:b/>
        </w:rPr>
        <w:t>E. 7.1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w:t>
      </w:r>
    </w:p>
    <w:p>
      <w:r>
        <w:t>A/100/2023 - 8/24 - compromet la santé physique, mentale ou psychique ou qui entraîne la mort (art. 4 LPGA; ATF 142 V 219 consid. 4.3.1 et les références).</w:t>
      </w:r>
    </w:p>
    <w:p>
      <w:r>
        <w:rPr>
          <w:b/>
        </w:rPr>
        <w:t>E. 7.2</w:t>
      </w:r>
    </w:p>
    <w:p>
      <w:r>
        <w:t>La responsabilité de l’assureur-accidents s’étend, en principe, à toutes les conséquences dommageables qui se trouvent dans un rapport de causalité naturelle (ATF 129 V 177 consid. 3.1 et les références; ATF 129 V 402 consid. 4.3.1 et les références) et adéquate avec l’événement assuré (ATF 129 V 177 consid. 3.2 et la référence; ATF 129 V 402 consid. 2.2 et les références).</w:t>
      </w:r>
    </w:p>
    <w:p>
      <w:r>
        <w:rPr>
          <w:b/>
        </w:rPr>
        <w:t>E. 7.3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ATF 125 V 195 consid. 2).</w:t>
      </w:r>
    </w:p>
    <w:p>
      <w:r>
        <w:rPr>
          <w:b/>
        </w:rPr>
        <w:t>E. 8.1</w:t>
      </w:r>
    </w:p>
    <w:p>
      <w:r>
        <w:t>Si l'assuré est invalide (art. 8 LPGA) à 10 %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A/100/2023 - 9/24 -</w:t>
      </w:r>
    </w:p>
    <w:p>
      <w:r>
        <w:rPr>
          <w:b/>
        </w:rPr>
        <w:t>E. 8.2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t>A/100/2023 - 10/24 -</w:t>
      </w:r>
    </w:p>
    <w:p>
      <w:r>
        <w:rPr>
          <w:b/>
        </w:rPr>
        <w:t>E. 9.2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w:t>
      </w:r>
    </w:p>
    <w:p>
      <w:r>
        <w:t>A/100/2023 - 11/24 -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9.4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w:t>
      </w:r>
    </w:p>
    <w:p>
      <w:r>
        <w:rPr>
          <w:b/>
        </w:rPr>
        <w:t>E. 10.2</w:t>
      </w:r>
    </w:p>
    <w:p>
      <w:r>
        <w:t>Pour procéder à la comparaison des revenus, il convient de se placer au moment de la naissance du droit à la rente; les revenus avec et sans invalidité doivent être déterminés par rapport à un même moment et les modifications de ces</w:t>
      </w:r>
    </w:p>
    <w:p>
      <w:r>
        <w:t>A/100/2023 - 12/24 - revenus susceptibles d'influencer le droit à la rente survenues jusqu'au moment où la décision est rendue doivent être prises en compte (ATF 129 V 222 consid. 4.1 et les références).</w:t>
      </w:r>
    </w:p>
    <w:p>
      <w:r>
        <w:rPr>
          <w:b/>
        </w:rPr>
        <w:t>E. 10.3</w:t>
      </w:r>
    </w:p>
    <w:p>
      <w:r>
        <w:t>Les rentes sont calculées d'après le gain assuré (art. 15 al. 1 LAA). Est déterminant pour le calcul des rentes le salaire que l'assuré a gagné durant l'année qui a précédé l'accident (art. 15 al. 2, 2e phrase, 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de l’ordonnance sur l'assurance-accidents du 20 décembre 1982 (OLAA - RS 832.202) que les rentes sont calculées sur la base du salaire que l'assuré a reçu d'un ou plusieurs employeurs durant l'année qui a précédé l'accident, y compris les éléments de salaire non encore perçus et auxquels il a droit (1re phrase); si les rapports de travail ont duré moins d'une année, le salaire reçu au cours de cette période est converti en gain annuel (2e phrase); en cas d'activité de durée déterminée, la conversion se limite à la durée prévue (3e phrase).</w:t>
      </w:r>
    </w:p>
    <w:p>
      <w:r>
        <w:rPr>
          <w:b/>
        </w:rPr>
        <w:t>E. 10.4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le parallèle n'a toutefois pas valeur absolue. Cette réglementation est applicable par analogie dans le domaine de l'assurance- accidents, dès lors que la notion d'invalidité y est la même que dans l'assurance-</w:t>
      </w:r>
    </w:p>
    <w:p>
      <w:r>
        <w:t>A/100/2023 - 13/24 -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w:t>
      </w:r>
    </w:p>
    <w:p>
      <w:r>
        <w:rPr>
          <w:b/>
        </w:rPr>
        <w:t>E. 10.5</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10.6</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w:t>
      </w:r>
    </w:p>
    <w:p>
      <w:r>
        <w:t>A/100/2023 - 14/24 -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et les références; arrêt du Tribunal fédéral 8C_801/2021 du 28 juin 2022 consid. 3.6).</w:t>
      </w:r>
    </w:p>
    <w:p>
      <w:r>
        <w:rPr>
          <w:b/>
        </w:rPr>
        <w:t>E. 10.7</w:t>
      </w:r>
    </w:p>
    <w:p>
      <w:r>
        <w:t>Les tableaux TA1, T1 et T17 de l’ESS 2020 ont été publiés le 23 août 2022; l’ESS 2018, le 21 avril 2020; l’ESS 2016, le 26 octobre 2018 (étant précisé que le tableau T1_tirage_skill_level a été corrigé le 8 novembre 2018); et l’ESS 2014, le</w:t>
      </w:r>
    </w:p>
    <w:p>
      <w:r>
        <w:rPr>
          <w:b/>
        </w:rPr>
        <w:t>E. 10.8</w:t>
      </w:r>
    </w:p>
    <w:p>
      <w:r>
        <w:t>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w:t>
      </w:r>
    </w:p>
    <w:p>
      <w:r>
        <w:t>A/100/2023 - 15/24 -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10.9</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w:t>
      </w:r>
    </w:p>
    <w:p>
      <w:r>
        <w:t>A/100/2023 - 16/24 - l'administration;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Par exemple, un abattement de 10% a été confirmé par le Tribunal fédéral dans un cas de non-usage de la main et du bras gauches, la personne assurée pouvant trouver dans le marché du travail équilibré des emplois ne nécessitant pas l’usage de la main et du bras gauches, tels que des activités simples de surveillance, examen et contrôle ainsi que l’utilisation et la surveillance de machine semi- automatique ou d’unités de production (cf. arrêt du Tribunal fédéral 8C_366/2013 du 18 juin 2013 consid. 4.2).</w:t>
      </w:r>
    </w:p>
    <w:p>
      <w:r>
        <w:rPr>
          <w:b/>
        </w:rPr>
        <w:t>E. 10.10</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 11. Selon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Selon la jurisprudence, l'art. 24 al. 2 OLAA s'applique non seulement lorsque le début du droit à la rente est retardé en raison d'un traitement médical de longue durée et le versement d'indemnités journalières correspondantes, mais aussi en cas de rechutes (ou de séquelles tardives) survenues plus de cinq ans après l'accident. Lors de la détermination du gain assuré, il convient de se référer au rapport de travail antérieur et de ne pas tenir compte des rapports de travail qui n'ont commencé qu'après l'accident (ATF 147 V 213 consid. 3.4.4 et les références ; arrêt du Tribunal fédéral 8C_401/2022 du 31 janvier 2023 consid. 5.2 et les références). 12. Le juge des assurances sociales fonde sa décision, sauf dispositions contraires de la loi, sur les faits qui, faute d’être établis de manière irréfutable, apparaissent comme les plus vraisemblables, c’est-à-dire qui présentent un degré de</w:t>
      </w:r>
    </w:p>
    <w:p>
      <w:r>
        <w:t>A/100/2023 - 17/24 -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w:t>
      </w:r>
    </w:p>
    <w:p>
      <w:r>
        <w:t>13.1 Dans un premier grief, le recourant reproche à l’intimée d’avoir procédé à une appréciation erronée de la situation médicale en se fondant uniquement sur le rapport du 5 avril 2022 du Dr M______, lequel n’aurait aucune valeur probante, du fait notamment : qu’il n’a pas revu l’intéressé lors de l’établissement du rapport précité ; qu’il écarte les conclusions du Dr K______, manifestement sans les comprendre et que ses conclusions seraient incohérentes au vu des limitations fonctionnelles retenues. La chambre de céans relève tout d’abord que s’il est exact que le chirurgien conseil de l’intimée n’a pas revu le recourant lors de l’établissement de son rapport du 5 avril 2022, il l’avait en revanche examiné moins de trois mois auparavant, le 18 janvier 2022. Or, aucun élément au dossier n’indique que l’état de santé aurait évolué dans l’intervalle. Au contraire, la teneur du rapport du 18 janvier 2022 est très proche de celle du rapport du 5 avril 2022 et tend déjà à montrer que l’état était déjà stabilisé. De plus, l’intervalle entre les deux rapports du Dr M______ semble avoir uniquement eu pour objectif de requérir la position du Dr K______, notamment quant à d’éventuelles nouvelles propositions pour améliorer les capacités fonctionnelles. Or, ce dernier a confirmé la stabilisation de l’état de santé et l’absence de pistes thérapeutiques. L’état est d’ailleurs décrit comme stable depuis le contrôle précédent de septembre 2021, soit avant l’examen du Dr M______ du 18 janvier 2022 (rapport du Dr K______ du 1er septembre 2022, p.4). Dans ces circonstances, il n’était pas nécessaire que le Dr M______ revoie le recourant aussi peu de temps après son examen précédent.</w:t>
      </w:r>
    </w:p>
    <w:p>
      <w:r>
        <w:t>A/100/2023 - 18/24 - Pour le surplus, les limitations fonctionnelles, en lien avec l’accident, retenues par le Dr K______ sont les suivantes : pas de port de charge dans l’axe vertical de plus de 5kg ; pas de port de charge hors de l’axe vertical de plus de 1kg ; aucun port de charge répété, pause manuelle de dix minutes après chaque charge ; aucune association de port de charge de la main gauche avec une prono- supination. Il était encore précisé que l’activité devait être monomanuelle, que la capacité de travail était de 50% au maximum dans une activité adaptée et qu’il convenait de retenir une baisse de rendement du fait des douleurs chroniques, des troubles de la concentration et de la fatigue chronique résultant de la médication. Quant au Dr M______, il a pour sa part admis que dans l’axe, le port de charge ne pouvait excéder au maximum 10 kg et difficilement plus de 2 ou 3 kg dans l’usage, ce qui limitait toute activité de force avec la main gauche et tout mouvement répété au niveau du poignet (celui-ci n’étant plus mobile) et toute vibration. La mobilité des épaules et des coudes n’était pas altérée et le membre supérieur droit était très puissant dans ses capacités physiques. Les divergences essentielles entre les deux appréciations concernent le port de charge maximal, ainsi que la question de la baisse de rendement et de la diminution de la capacité de travail à 50%, ce même dans une activité adaptée aux limitations fonctionnelles. Concernant le port de charge, la chambre de céans relève que, comme cela sera examiné dans la partie relative au type d’activité exigible (cf. 14.4), la différence à cet égard entre les deux appréciations médicales n’a pas d’incidence sur le taux d’invalidité. Pour ce qui est ensuite de la baisse de rendement évoquée par le Dr K______, elle découlerait, des douleurs chroniques, les troubles de la concentration et la fatigue chronique résultant de la médication. Or, le Dr K______ précise que si les douleurs sont présentes (5/10) lors de la mise à contribution active du poignet gauche hors attelle, ce même pour une activité légère (rapport du 3 mars 2022, p. 2 et rapport du 1er septembre 2022 p.2 et p. 4), elles sont cependant nulles (0/10) lorsque le poignet est au repos. Lorsque l’attelle est portée, elles sont également absentes. Il y a de plus lieu de relever que l’assuré ne prend pas d’antidouleurs sur une base régulière mais uniquement du Dafalgan en réserve (certificat du 3 mars 2022, p. 3). Dans ces circonstances, rien ne justifie, sous l’angle des douleurs, de retenir une perte de rendement quelconque dans une activité ne mettant pas le poignet gauche à contribution au-delà des limitations fonctionnelles retenues par le chirurgien traitant lui-même. Concernant les troubles de la concentration et la fatigue chronique résultant de la médication et comme le relève l’intimé, ils ne sauraient être imputés à l’évènement assuré. En effet, le Dafalgan, pris en réserve, est le seul antalgique pris en lien avec les séquelles de l’accident. Or, il ne comporte pas de tels effets secondaires. Les deux autres traitements suivis sur une base régulière sont le</w:t>
      </w:r>
    </w:p>
    <w:p>
      <w:r>
        <w:t>A/100/2023 - 19/24 - Remeron et le Dolmadorm, soit un antidépresseur et un hypnotique, pris pour des motifs n’entrant pas en lien de causalité avec l’accident. Le Dr K______ précise d’ailleurs notamment que les insomnies ne sont pas liées aux douleurs (rapport du 3 mars 2022, p.2). Dès lors, s’il est exact que leurs effets secondaires peuvent comporter des troubles de la concentration et une fatigue chronique, conséquemment une diminution de rendement, celle-ci n’a pas à être prise en charge par l’assureur LAA. Enfin, s’agissant du besoin de pauses toutes les 10 minutes, il s’applique uniquement suite au port de charges répétées. Dans ces circonstances, l’affirmation du Dr K______ selon laquelle la capacité de travail et de rendement du recourant serai limitée du fait des suites de l’accident, ce dans n’importe quelle activité ne saurait être suivie. À défaut, en outre, d’un quelconque argumentaire à l’appui de cette posture, la chambre de céans ne peut que constater, en accord avec le Dr M______ et l’intimée que, si tant est qu’une activité adaptée aux limitations fonctionnelles existe (ce qui sera analysé ci-après : cf. 13.4), la capacité de travail et de rendement dans un tel emploi serait entière. Pour le surplus, concernant précisément les limitations fonctionnelles retenues par le Dr K______ et le Dr M______, leur étendue est si proche qu’il n’est pas nécessaire de déterminer laquelle des deux évaluations est la plus convaincante. En effet, comme la chambre de céans l’expliquera ci-après (cf. 13.4), même en retenant les limitations fonctionnelles les plus favorables au recourant, soit celles du Dr K______ (pas de port de charge dans l’axe vertical de plus de 5kg ; pas de port de charge hors de l’axe vertical de plus de 1kg ; aucun port de charge répété, pause manuelle de dix minutes après chaque charge ; aucune association de port de charge de la main gauche avec une prono-supination), le revenu d’invalide demeure inchangé. Pour le surplus, dans la mesure où, sous réserve des éléments qui viennent d’être clarifiés, les constatations et conclusions du chirurgien traitant du recourant et du chirurgien conseil de l’intimée sont très semblables, claires et convaincantes, il n’y a pas lieu de donner suite à la demande de mise en œuvre d’une expertise médicale judiciaire formulée par le recourant. Les éléments médicaux au dossier permettent en effet pleinement de trancher le litige à satisfaction de droit. C’est ainsi à juste titre que l’intimée a retenu, sous l’angle médical, une capacité de travail entière dans une activité adaptée aux limitations fonctionnelles. 13.2 Le recourant conteste ensuite le calcul du gain assuré effectué par l’intimée, qui : omet l’indemnité vacances et jours fériés ainsi que les allocations familiales genevoises ; tient compte d’un salaire horaire erroné pour l’activité de nettoyeur ; ne prend pas en compte l’indemnité pour pauses dans le calcul du 13ème salaire. Concernant l’activité de nettoyage, l’intimée a pris en compte tous les éléments ressortant des fiches de salaire (y compris l’indemnité vacances) relatives à l’année ayant précédé l’accident, soit du 12 août 2014 au 11 août 2015.</w:t>
      </w:r>
    </w:p>
    <w:p>
      <w:r>
        <w:t>A/100/2023 - 20/24 - L’augmentation du salaire horaire de CHF 18.40 à CHF 18.60 au 1er janvier 2015 figure sur ces fiches. Il en ressort un salaire brut pour cette période de CHF 13'651.46. Comme l’intimée l’admet à juste titre dans sa duplique du 30 mai 2023, il convient cependant d’ajouter à cette somme le salaire auquel l’intéressé aurait pu prétendre s’il n’avait pas été absent pour cause de maladie du 7 au 16 novembre 2014 (art. 24 al. 1 OLAA), soit CHF 323.90. Ce montant correspond à 15 heures de travail (6 jours de travail x 2.5 heures de travail par jour) à CHF 18.40 par heure (en 2014) auxquels ont été ajoutés le 13ème salaire et l’indemnité vacances (15 heures x CHF18.40 + 8.33% + 8.33%). Le gain assuré total relatif à cette activité se monte ainsi bien à CHF 13'975.36. Adapté à la hausse des salaires nominaux pour les hommes durant la période de 2015 (103.2) à 2021 (105.5), tel qu’elle ressort du tableau T1.1.10, hommes 77-82 (activités de service administratif et de soutien, secteur économique 812100 » nettoyage courant des bâtiments »), le gain assuré se monte à CHF 14'286.83. Pour l’activité principale du recourant dans le domaine de la construction, l’intimée a procédé de la même manière en cumulant les revenus, selon les fiches de salaire de B______ SA des douze mois ayant précédé l’accident, abstraction faite de la période d’incapacité de travail de novembre 2014 qui a été pris en compte comme s’il avait été travaillé dans son intégralité, conformément à l’art. 24 al. 1 OLAA. Il sied tout d’abord de préciser que les fiches de salaire font mention des allocations familiales (en sus du salaire) et que celles-ci ont donc bien été prises en compte dans le calcul de l’intimée, ce que le recourant reconnaît dans ses observations finales. Quant à l’indemnité de 2.9% pour pause, c’est à juste titre qu’elle n’est pas ajoutée au 13ème salaire, dans la mesure où l’art. 1 let. b de la CCT-GE, sur laquelle cette indemnité est fondée l’exclut explicitement en précisant qu’elle est calculée « 13ème salaire et vacances non compris ». Il ressort d’ailleurs de la fiche de salaire de B______ SA relative à décembre 2014 que le 13ème salaire du recourant était bien calculé sur la base de son salaire mensuel hors indemnité pour pause. Le revenu du recourant auprès de B______ SA pour les douze mois ayant précédé l’accident a ainsi été valablement fixé à CHF 73'280.40, soit CHF 71'370.- de salaire (CHF 5'490.- x 13 mois) et CHF 1'910.40 d’indemnité pour pause (CHF 5'490 x 12 mois x 2.9%). Adapté à la hausse des salaires nominaux pour les hommes durant la période de 2015 (102.5) à 2021 (105.7), tel qu’elle ressort du tableau T1.1.10, hommes 41-43 (construction), le gain assuré se monte à CHF 75'568.18. Cumulé au salaire de l’activité auprès de C______ SA (CHF 14'286.83) et aux allocations familiales (CHF 7'200.-), le revenu assuré s’élève ainsi au total à CHF 97'055.-, comme admis par l’intimée au stade de la réplique, et non à CHF 97'005.- tel que retenu dans la décision entreprise.</w:t>
      </w:r>
    </w:p>
    <w:p>
      <w:r>
        <w:t>A/100/2023 - 21/24 - 13.3 L’intimée a évalué le revenu sans invalidité en prenant en compte tant l’activité principale que l’activité secondaire du recourant. Ainsi, concernant l’activité auprès de B___ SA, elle a constaté, sur la base des documents fournis par l’employeur, que l’intéressé touchait un salaire mensuel de CHF 5'490.-, versé douze fois l’an, auquel s’ajoutait un 13ème salaire versé au prorata, au taux de 8.33%. L’employeur a par ailleurs indiqué que le salaire mensuel aurait été augmenté à CHF 5'650.- en 2021, plus 13ème salaire de 8.33% et indemnité de pause de 2.9%. Il n’y avait en revanche pas lieu de prendre en compte l’indemnité professionnelle versée mensuellement, laquelle n’était pas soumise à l’AVS et était versée selon les jours travaillés. Sur la base des estimations trimestrielles relatives à 2022, telles que disponibles en novembre 2022, l’intimée a indexé ce revenu, de 2%, le portant à CHF 5'763.- par mois, soit annuellement, CHF 74'919.- (y compris le 13ème salaire). Il convient d’ajouter à ce montant l’indemnité pour pause, Comme relevé dans le développement relatif au gain assuré, celle-ci est calculée hors 13ème salaire, conformément à la CCT-GE de sorte, de sorte qu’elle s’élève à CHF 2'005.52 (CHF 5'763.- x 2.9% x 12 mois). Le revenu sans invalidité relatif à l’activité principale auprès de B___ SA, fixé à CHF 76'924.52, n’apparaît ainsi pas critiquable. Le revenu relatif à l’activité secondaire auprès de C______ SA, tel qu’il ressort de la décision entreprise est également conforme au droit. En effet, à teneur du courrier de l’employeur du 26 mars 2021, le salaire horaire du recourant se serait élevé à CHF 21.36 en 2021, soit CHF 21.78 pour 2022 en tenant compte d’une indexation de 2%. L’activité étant exercée à raison de 12.5 heures par semaine et le recourant bénéficiant d’un 13ème salaire, son revenu annualisé s’élève à CHF 15'336.28 (CHF 21.78 x 12.5 heures x 52 semaines + 8.33% de 13ème salaire). En y ajoutant la prime de supervision de CHF 150.- versée douze fois par an, soit CHF 1'800.-, le revenu sans invalidité auprès de C______ SA ce serait effectivement élevé à CHF 17'136,28 pour 2022. Le revenu sans invalidité des deux activités cumulées se monte donc bien à CHF 94'060.80. 13.4 Concernant ensuite le revenu d’invalide, le recourant reproche à l’intimée d’avoir eu recours aux statistiques ESS vu les spécificités de sa situation. Il conteste également la prise en compte d’un abattement de seulement 10%. Il considère que si tant est qu’une capacité de travail exploitable et exigible soit reconnue, ce qu’il conteste également, un abattement maximal devrait dans tous les cas lui être appliqué. La chambre de céans relève tout d’abord qu’il n’y a pas lieu de retenir une quelconque diminution de la capacité de travail ou de rendement dans une activité adaptée aux limitations fonctionnelles (cf. 13.1). En outre, le recourant n’explique pas quelles particularités de son cas empêcheraient le recours aux statistiques de l’ESS. Au contraire, l’emploi de celles-ci paraît tout-à-fait indiqué, en l’absence</w:t>
      </w:r>
    </w:p>
    <w:p>
      <w:r>
        <w:t>A/100/2023 - 22/24 - d’un revenu effectivement réalisé depuis l’accident (cf. notamment l’ATF 148 V 174 consid. 6.2 et les références). La référence au salaire correspondant au niveau de compétence 1 (tâches physiques ou manuelles simples et ne nécessitant aucune formation particulière) n’est pas non plus critiquable et n’est d’ailleurs à juste titre pas remis en cause par l’intéressé. Seule se pose dès lors la question de l’abattement de 10% que le recourant considère insuffisant, alors qu’il a été éloigné du marché du travail durant sept ans du fait de l’accident, qu’auparavant il avait toujours travaillé dans les secteurs du bâtiment et du nettoyage (tous deux désormais exclus), qu’il travaillait de longue date pour ses derniers employeurs et que sa capacité de travail et son rendement sont limités. L’intimée estime pour sa part qu’un abattement de 10% est justifié, s’agissant d’un assuré âgé de 46 ans lors de l’examen du droit à la rente, titulaire d’une autorisation d’établissement, non limité dans le port de charges du côté droit (dominant) ni dans les déplacements ou les positions et dont la mobilité des doigts de la main gauche est complète. La chambre de céans considère que l’abattement de 10% consenti par l’intimée pour tenir compte des limitations fonctionnelles du recourant ne prête pas non plus le flanc à la critique. Les autres critères pertinents pour définir l’étendue de l’abattement ne sont en effet pas remplis. S’agissant des limitations fonctionnelles dont répond l’intimée (soit uniquement celles découlant de l’accident), même en prenant en compte pour ce qui est du port de charge, celles retenues par le Dr K______, (soit pas de port de charge dans l’axe vertical de plus de 5kg ; pas de port de charge hors de l’axe vertical de plus de 1kg ; aucun port de charge répété, pause manuelle de dix minutes après chaque charge ; aucune association de port de charge de la main gauche avec une prono-supination), elles demeurent compatibles avec l’exercice de nombreux métiers. Quant au manque d'expérience dans une nouvelle profession, il ne s’agit pas d’un facteur susceptible de jouer un rôle significatif sur les perspectives salariales d’un assuré lorsque les activités adaptées envisagées sont simples et répétitives et ne requièrent ni formation, ni expérience professionnelle spécifique (arrêt du Tribunal fédéral 8C_131/2018 du 25 juillet 2018 consid. 5.2). En ce qui concerne le critère des années de service, son incidence est moins élevée lorsque le profil d'exigences est bas. Ce paramètre n'est pas pertinent s'agissant des activités de niveau 1 de l'ESS (arrêt du Tribunal fédéral 9C_874/2014 du 2 septembre 2015 consid. 3.3.2 et les références). Partant, l’intimée est restée dans les limites de son pouvoir d’appréciation en appliquant au revenu d’invalide une réduction de 10%, conforme à la jurisprudence (cf. arrêt du Tribunal fédéral 8C_366/2013, consid. 4.2). Le revenu d’invalide tel qu’établi par l’intimée n’est dès lors pas critiquable.</w:t>
      </w:r>
    </w:p>
    <w:p>
      <w:r>
        <w:t>A/100/2023 - 23/24 - Tant le revenu sans invalidité que le revenu d’invalide ayant été fixés à satisfaction de droit, le taux d’invalidité en résultant de 36% doit également être admis. 14. Ainsi, au final, le recours est très partiellement admis en ce sens que le gain assuré est fixé à CHF 97'055.-, comme reconnu par l’intimée au stade de la réplique, et non à CHF 97'005.- tel que retenu dans la décision entreprise. Il est rejeté pour le surplus.</w:t>
      </w:r>
    </w:p>
    <w:p>
      <w:r>
        <w:rPr>
          <w:b/>
        </w:rPr>
        <w:t>E. 15</w:t>
      </w:r>
    </w:p>
    <w:p>
      <w:r>
        <w:t>Étant donné que le recourant obtient très partiellement gain de cause, une indemnité de CHF 1'500.- lui sera accordé à titre de participation à ses frais et dépens, à charge de l’intimée (art. 61 let. g LPA ; art. 89H al. 3 LPA ; art. 6 du règlement sur les frais, émoluments et indemnités en procédure administrative du 30 juillet 1986 - RFPA ; RS E 5.10.03).</w:t>
      </w:r>
    </w:p>
    <w:p>
      <w:r>
        <w:rPr>
          <w:b/>
        </w:rPr>
        <w:t>E. 16</w:t>
      </w:r>
    </w:p>
    <w:p>
      <w:r>
        <w:t>Pour le surplus, la procédure est gratuite (art. 61 let. fbis LPGA a contrario).</w:t>
      </w:r>
    </w:p>
    <w:p>
      <w:r>
        <w:t>A/100/2023 - 24/24 -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