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ATAS/141/2020 vom 25. Februar 2020</w:t>
      </w:r>
    </w:p>
    <w:p>
      <w:r>
        <w:t>GE Cour de justice, 2020-02-25, FR</w:t>
      </w:r>
    </w:p>
    <w:p>
      <w:r>
        <w:rPr>
          <w:b/>
        </w:rPr>
        <w:t xml:space="preserve">Quelle: </w:t>
      </w:r>
      <w:r>
        <w:t>https://mcp.opencaselaw.ch/entscheid/ge_gerichte_ATAS_141_2020</w:t>
      </w:r>
    </w:p>
    <w:p>
      <w:r>
        <w:t>FR: GE_GERICHTE ATAS/141/2020 du 25 février 2020</w:t>
      </w:r>
    </w:p>
    <w:p>
      <w:r>
        <w:t>IT: GE_GERICHTE ATAS/141/2020 del 25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A/3604/2019 - 15/38 -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après le 1er janvier 2018 en fonction des modifications susmentionnées (cf. ATAS/435/2019 du 13 mai 2019 consid. 10).</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point de savoir si la suppression du droit de la recourante à un trois-quarts de rente, allouée du 1er février au 31 janvier 2013, est fondée ; si son statut s’est modifié depuis l’arrêt du 10 octobre 2017; et si elle a droit à des mesures d’ordre professionnel.</w:t>
      </w:r>
    </w:p>
    <w:p>
      <w:r>
        <w:rPr>
          <w:b/>
        </w:rPr>
        <w:t>E. 5</w:t>
      </w:r>
    </w:p>
    <w:p>
      <w:r>
        <w:t>Selon la jurisprudence, une décision par laquelle l'assurance-invalidité accorde une rente d'invalidité avec effet rétroactif et, en même temps, prévoit l'augmentation, la</w:t>
      </w:r>
    </w:p>
    <w:p>
      <w:r>
        <w:t>A/3604/2019 - 16/38 -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w:t>
      </w:r>
    </w:p>
    <w:p>
      <w:r>
        <w:t>A/3604/2019 - 17/38 -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A/3604/2019 - 18/38 -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A/3604/2019 - 19/38 -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suite à l’arrêt de renvoi du 10 octobre 2017, l’intimé a sollicité un complément d’expertise rhumatologique et psychiatrique auprès des mêmes experts du BEM, les Drs E______ et F______, qui avaient rendu le rapport du 24 septembre 2015, lequel avait été jugé non probant par la chambre de céans dans l’arrêt précité.</w:t>
      </w:r>
    </w:p>
    <w:p>
      <w:r>
        <w:t>A/3604/2019 - 20/38 - Bien qu’il eût été préférable dans ces conditions que l’intimé mît en œuvre une nouvelle expertise auprès d’autres médecins, il n’en reste pas moins que les experts du BEM ont réévalué l’état de santé de la recourante et ont répondu aux critiques formulées dans l’arrêt précité. C’est par ailleurs à tort que la recourante fait valoir qu’elle n’avait pas pu se déterminer sur des questions complémentaires qui auraient dû être adressées aux experts. Elle omet le fait que, par communication du</w:t>
      </w:r>
    </w:p>
    <w:p>
      <w:r>
        <w:rPr>
          <w:b/>
        </w:rPr>
        <w:t>E. 13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w:t>
      </w:r>
    </w:p>
    <w:p>
      <w:r>
        <w:rPr>
          <w:b/>
        </w:rPr>
        <w:t>E. 17</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w:t>
      </w:r>
    </w:p>
    <w:p>
      <w:r>
        <w:t>A/3604/2019 - 28/38 - travail en mettant pleinement à profit sa capacité résiduelle dans un emploi adapté à son handicap (ATF 125 V 146 consid. 5a).</w:t>
      </w:r>
    </w:p>
    <w:p>
      <w:r>
        <w:rPr>
          <w:b/>
        </w:rPr>
        <w:t>E. 18</w:t>
      </w:r>
    </w:p>
    <w:p>
      <w:r>
        <w:t>a. En vertu des art. 28 al. 1 et 29 al. 1 LAI (dans leur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t>A/3604/2019 - 29/38 -</w:t>
      </w:r>
    </w:p>
    <w:p>
      <w:r>
        <w:rPr>
          <w:b/>
        </w:rPr>
        <w:t>E. 19</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20</w:t>
      </w:r>
    </w:p>
    <w:p>
      <w:r>
        <w:t>a. En l’espèce, le délai d’attente d’une année pour l’ouverture du droit à la rente a commencé à courir le 9 décembre 2010, date de l’incapacité de travail durable. La recourante a toutefois déposé sa demande de prestations le 2 août 2011, soit plus de six mois après le début de son incapacité de travail totale. Il s’ensuit qu’en raison de sa demande tardive, le droit éventuel à la rente a pris naissance au plus tôt le 1er février 2012 (art. 29 al. 1 et 3 LAI). b. En ce qui concerne le calcul de l’incapacité de gain dans la sphère professionnelle à compter de cette date, il y a lieu de rappeler que la capacité de travail de la recourante, nulle dans toute activité jusqu’à fin octobre 2012, est dans</w:t>
      </w:r>
    </w:p>
    <w:p>
      <w:r>
        <w:t>A/3604/2019 - 30/38 - une activité adaptée légère de 50 % du 1er novembre 2012 au 25 mars 2018, et de 40 % dès le 26 mars 2018. b/aa. Pour la période du 1er février au 31 octobre 2012, l’incapacité de travail totale dans toute activité correspond à une invalidité de 100 % (cf. ATAS/642/2015 du 31 août 2015 consid. 15c), comme retenu par l’intimé. b/bb. Pour la période du 1er novembre 2012 au 25 mars 2018, compte tenu des données communiquées par l’employeur en août 2011, le revenu sans invalidité de la recourante, réactualisé à 2012 – année déterminante pour procéder à la détermination du degré d'invalidité − selon l’indice suisse des salaires nominaux pour les femmes (ISS; en 2011 : 2604 et en 2012 : 2630), est de CHF 44'103.- (43’667 × 2630/ 2604). S’agissant du revenu avec invalidité en 2012, dès lors que la recourante n’a pas repris d’activité professionnelle, le revenu d’invalide peut être évalué sur la base des statistiques salariales figurant dans l’ESS.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D’après l’ESS 2012, ce revenu s’élève à CHF 4’112.- par mois (tableau TA1_tirage_skill_level, niveau 1, total, femme, part au 13ème salaire comprise) ou à CHF 49’344.- par année (4’112 × 12). Ce salaire hypothétique se base toutefois sur une durée hebdomadaire de travail de 40 heures, inférieure à la moyenne usuelle dans les entreprises. Il convient dès lors de l’ajuster à la durée hebdomadaire normale de travail en 2012, lequel est de 41,7 heures (tableau « Durée normale du travail dans les entreprises selon la division économique » de l’office fédéral de la statistique), ce qui porte le salaire annuel à CHF 51'441.- pour un plein temps (49’344 × 41,7/ 40) et à CHF 25’721.- au vu de la capacité de travail raisonnablement exigible de 50 % (51'441/ 2). À ce montant, il n’y a pas lieu d’appliquer un facteur de réduction. En effet, l'absence prolongée du marché du travail n'est pas déterminante dans le contexte d'une activité adaptée relevant de tâches manuelles simples, en référence à l'ESS 2012, niveau 1 et n'est pas un facteur d'abattement (cf. arrêts du Tribunal fédéral 9C_273/2019 du 18 juillet 2019 consid. 6.3; 9C 17/2018 du 17 avril 2018 consid. 4.3 ; 8C_883/2015, 8C_884/2015 du 21 octobre 2016 consid. 6.3.2 et les références et 9C_160/2014 du 30 juin 2014 consid. 5.2). Le manque d'expérience de la recourante, naturalisée suisse, dans une nouvelle profession n’est pas non plus un facteur susceptible de jouer un rôle significatif sur ses perspectives salariales, puisque les activités adaptées envisagées (simples) ne requièrent ni formation, ni expérience professionnelle spécifique, et que tout nouveau travail va de pair avec une période d'apprentissage. Aussi n’y a-t-il pas lieu d'effectuer un abattement à ce titre (arrêts du Tribunal fédéral 8C_103/2018, 8C_131/2018 du 25 juillet 2018</w:t>
      </w:r>
    </w:p>
    <w:p>
      <w:r>
        <w:t>A/3604/2019 - 31/38 - consid. 5.2). De plus, âgée de 50 ans au moment du début du droit à la rente, la recourante ne se trouve pas à un âge qui l'obligerait à mettre en valeur sa capacité de travail résiduelle sur le marché du travail à des conditions économiques plus défavorables que la moyenne, soit qui entraînerait un désavantage salarial. L'âge de 50 ans ne correspond pas à celui ouvrant le droit à une rente de l'assurance- vieillesse et survivants permettant de parler d'un âge avancé déterminant (cf. ATAS/1041/2019 du 12 novembre 2019 consid. 16). En outre, le critère du taux partiel d'activité ne constitue pas un élément pertinent dans le cas d'espèce: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(cf. arrêt du Tribunal fédéral 9C_160/2014 du 30 juin 2014 consid. 5.3 et les références). Enfin, l'évaluation de la capacité résiduelle de travail de la recourante tient compte de ses limitations fonctionnelles, de sorte que ces dernières ne peuvent être retenues une seconde fois lors de la fixation du revenu d'invalide (cf. arrêt du Tribunal fédéral 9C_273/2019 du 18 juillet 2019 consid. 6.1). Partant, le revenu d'invalide de CHF 25’721.-, comparé avec le revenu sans invalidité de CHF 44'103.-, donne un degré d’invalidité de 41,67 % ([44'103 - 25’721] / 44'103 × 100 %), arrondi à 42 % (ATF 130 V 121 consid. 3.2). C’est donc à tort que l’intimé a retenu un taux de 17 %. Il y a lieu de relever que la recourante, après la survenance de l’atteinte à la santé, a travaillé à 60 % du 1er mai 2017 au 31 janvier 2019 en qualité de personnel administratif, soit dans une activité adaptée, auprès de l’Université de Genève. Si l’on tient compte du revenu annuel effectivement réalisé, soit CHF 53'549.- pendant la période ici litigieuse du 1er mai 2017 au 25 mars 2018 pour fixer le revenu d’invalide (cf. ATF 129 V 472 consid. 4.2.1 ; 126 V 75 consid. 3b/aa), force est de constater que la recourante ne subit pas de perte de gain durant cette période, le revenu d’invalide étant supérieur au revenu sans invalidité. b/cc. Pour la période dès le 26 mars 2018, dans la mesure où le changement important de la capacité de travail ayant une incidence sur la capacité de gain remonte à cette date, il convient de se placer en 2018 pour procéder à la comparaison des revenus. Selon les données communiquées par l’employeur en 2011, le revenu annuel sans invalidité, indexé à l’année 2018, est de CHF 45'813.- (soit ISS; en 2011 : 2604 et en 2018 : 2732 ; 43’667 × 2732/ 2604). Compte tenu d’un taux d’activité de 60 %, ce revenu est, conformément à l’art. 27bis al. 3 let. a RAI en vigueur depuis le 1er janvier 2018, extrapolé pour un taux d’activité de 100 %, de sorte que le revenu sans invalidité déterminant s’élève à CHF 76'355.- (45'813 × 100 % / 60 %). S’agissant du revenu avec invalidité en 2018, il convient de se référer à l’ESS 2016, qui était déjà publiée (le 26 octobre 2018) au moment déterminant de la décision du</w:t>
      </w:r>
    </w:p>
    <w:p>
      <w:r>
        <w:t>A/3604/2019 - 32/38 - 27 août 2019 (cf. arrêt du Tribunal fédéral 8C_655/2016 du 4 août 2017 consid. 6.3). D’après l’ESS 2016, le revenu statistique tiré d’activités physiques ou manuelles simples s’élève à CHF 4’363.- par mois (tableau TA1_tirage_skill_level, niveau 1, total, femme, part au 13ème salaire comprise) ou à CHF 52’356.- par année (4’363 × 12). Ce salaire hypothétique se base toutefois sur une durée hebdomadaire de travail de 40 heures, inférieure à la moyenne usuelle dans les entreprises. Il convient dès lors de l’ajuster à la durée hebdomadaire normale de travail en 2016, laquelle est de 41,7 heures, ce qui porte le salaire annuel à CHF 54’581.- (52’356 × 41,7/ 40). Après adaptation de ce montant à l'évolution des salaires nominaux pour les femmes en 2018 (ISS en 2016: 2709 et en 2018: 2732), le revenu avec invalidité est de CHF 55’044.- (54’581× 2732/ 2709) pour un plein temps et de CHF 22'017.60 au vu de la capacité de travail raisonnablement exigible de 40 % (55'044 × 40 %/ 100 %). Pour les mêmes motifs qu’exposés ci-dessus, il n’y a pas lieu d’opérer un abattement à ce montant. Même si, lors de la comparaison des revenus en 2018, la recourante était âgée de 57 ans, elle a travaillé, en dépit de son atteinte à la santé, en tant que personnel administratif auprès de l’Université de Genève du 1er mai 2017 au 31 janvier 2019. Elle dispose donc d'une certaine capacité d'adaptation sur le plan professionnel susceptible de compenser les désavantages compétitifs liés à son âge (cf. arrêt du Tribunal fédéral 8C_227/2017 du 17 mai 2018 consid. 5 et les références citées). Partant, le revenu d'invalide de CHF 22'017.60, comparé avec le revenu sans invalidité de CHF 76'355.-, donne un degré d’invalidité de 71,16 % ([76'355 - 22'017.60] / 76'355 × 100 %), arrondi à 71 % (ATF 130 V 121 consid. 3.2). C’est donc à tort que l’intimé a retenu un taux de 33 %. Il y lieu de relever que, pendant la période ici litigieuse du 26 mars 2018 au 31 janvier 2019, durant laquelle la recourante a collaboré auprès de l’Université de Genève à 60 % pour un revenu annuel de CHF 53'549.- dès le 1er mai 2017, de CHF 53'976.- dès le 1er juillet 2018 et de CHF 54'404.- dès le 1er janvier 2019, sa perte de gain s’élève en réalité à CHF 29,86 % dès le 26 mars 2018 ([76'355 - 53'549] / 76'355 × 100 %), à 29,30 % dès le 1er juillet 2018 ([76'355 - 53'976] / 76'355 × 100 %) et à 28,74 % du 1er au 31 janvier 2019 ([76'355 - 54'404] / 76'355 × 100 %). c. En ce qui concerne le taux d’invalidité en lien avec les travaux habituels, la chambre de céans constate que l’enquête économique sur le ménage a été effectuée par une personne qualifiée au domicile de la recourante, en présence de cette dernière. L’enquêtrice a rappelé l’atteinte à la santé dont celle-ci souffre et a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son époux. Les conclusions du rapport</w:t>
      </w:r>
    </w:p>
    <w:p>
      <w:r>
        <w:t>A/3604/2019 - 33/38 - d’enquête économique reposent donc sur un examen concret des circonstances du cas d’espèce. c/aa. La recourante conteste l’exigibilité de son époux que l’enquêtrice a fixée à 31,20 %, faisant valoir que ce taux est très élevé compte tenu des limitations de son époux résultant de sa maladie. S’il est vrai que celui-ci a souffert d’un cancer O.R.L en 2012, ayant nécessité un traitement, lors de l’expertise réalisée le 24 septembre 2015, la recourante avait toutefois déclaré que son époux, à ce moment déjà, assumait les tâches ménagères (p. 28 du rapport du 24 septembre 2015). Elle a également affirmé à l’enquêtrice en novembre 2018 que celui-ci, en bonne santé dorénavant, se chargeait des tâches qu’elle n’effectuait plus elle-même. Ainsi, en partant du principe que l'activité de la recourante dans le ménage représente 16 heures (soit [60 % × 40 heures/ 100 %] =</w:t>
      </w:r>
    </w:p>
    <w:p>
      <w:r>
        <w:rPr>
          <w:b/>
        </w:rPr>
        <w:t>E. 24</w:t>
      </w:r>
    </w:p>
    <w:p>
      <w:r>
        <w:t>a.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Il n'existe pas un droit inconditionnel à obtenir une mesure professionnelle (voir par ex. l'arrêt du Tribunal fédéral 9C_385/2009 du 13 octobre 2009).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w:t>
      </w:r>
    </w:p>
    <w:p>
      <w:r>
        <w:t>A/3604/2019 - 36/38 -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 Aux termes de l'art. 18 al. 1 LAI (dans sa teneur en vigueur depuis le 1er janvier 2008),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d. En l’espèce, certes, sur le plan subjectif, la recourante désire bénéficier d’une mesure de réadaptation. S’agissant toutefois de sa demande de rééducation dans la même profession, on observe que, de l’avis de la recourante, elle ne peut plus exercer son activité habituelle, indiquant être incapable de travailler dans un milieu médicalisé, en raison des mauvais souvenirs et des odeurs qui s’y dégagent ainsi que de l’angoisse qui se manifeste à la vue du sang. Lors des expertises réalisées en septembre 2015 et en mars 2018, la recourante avait exprimé une absence totale de volonté de reprendre son activité habituelle, qui était très stressante selon elle (p. 14 du rapport du 14 mai 2018, p. 24 du rapport du 24 septembre 2015). Ainsi, après plus de sept ans d'inactivité, il n'est guère vraisemblable que sa capacité de gain soit maintenue ou améliorée au terme d'une rééducation dans la même profession (art. 17 al. 2 LAI) pour laquelle la recourante ne montre plus aucun intérêt particulier.</w:t>
      </w:r>
    </w:p>
    <w:p>
      <w:r>
        <w:t>A/3604/2019 - 37/38 - Une mesure de reclassement au sens de l’art. 17 al. 1 LAI ne se justifie pas non plus, dès lors que les activités adaptées légères que la recourante est à même d’exercer ne nécessitent pas de formation (cf. arrêt du Tribunal fédéral 9C_467/2012 du 25 février 2013 consid. 5.2 ; ATAS/432/2018 du 23 mai 2018 consid. 15e). En outre, du 1er mai 2017 au 31 janvier 2019, la recourante a été capable, sans réadaptation, de réaliser à un taux d’activité de 60% un revenu supérieur (CHF 53'549, CHF 53'976.-, CHF 54'404.-) à son revenu antérieur (CHF 43'667.-), au même taux d'activité, c’est-à-dire sans subir de perte de gain. Enfin, dans la mesure où la recourante ne présente pas de limitations fonctionnelles (cécité, mutisme, mobilité limitée, troubles de comportement) qui l'entraveraient dans sa recherche de travail, elle n'a pas droit à une mesure d'aide au placement.</w:t>
      </w:r>
    </w:p>
    <w:p>
      <w:r>
        <w:rPr>
          <w:b/>
        </w:rPr>
        <w:t>E. 25</w:t>
      </w:r>
    </w:p>
    <w:p>
      <w:r>
        <w:t>Au vu de ce qui précède, le recours sera partiellement admis, la décision du 27 août 2019 annulée et il sera dit que la recourante a droit à une rente entière d’invalidité du 1er février 2012 au 31 janvier 2013 et à un quart de rente dès le 1er mai 2019.</w:t>
      </w:r>
    </w:p>
    <w:p>
      <w:r>
        <w:rPr>
          <w:b/>
        </w:rPr>
        <w:t>E. 26</w:t>
      </w:r>
    </w:p>
    <w:p>
      <w:r>
        <w:t>Au vu du dossier contenant tous les éléments nécessaires pour trancher le litige, par appréciation anticipée des preuves (ATF 122 II 464 consid. 4a), l’audition du médecin traitant et la mise en œuvre d’une expertise judiciaire, sollicitées par la recourante, sont inutiles, de sorte que la chambre de céans n'y donnera pas suite.</w:t>
      </w:r>
    </w:p>
    <w:p>
      <w:r>
        <w:rPr>
          <w:b/>
        </w:rPr>
        <w:t>E. 27</w:t>
      </w:r>
    </w:p>
    <w:p>
      <w:r>
        <w:t>La recourante, représentée, obtenant partiellement gain de cause, une indemnité lui sera accordée à titre de participation à ses frais et dépens (art. 61 let. g LPGA; art. 6 du règlement sur les frais, émoluments et indemnités en matière administrative du</w:t>
      </w:r>
    </w:p>
    <w:p>
      <w:r>
        <w:rPr>
          <w:b/>
        </w:rPr>
        <w:t>E. 30</w:t>
      </w:r>
    </w:p>
    <w:p>
      <w:r>
        <w:t>juillet 1986 [RFPA - E 5 10.03]), arrêtée en l'espèce à CHF 800.-. Étant donné que, depuis le 1er juillet 2006, la procédure n'est plus gratuite (art. 69 al. 1bis LAI), au vu du sort du recours, il y a lieu de condamner l'intimé au paiement d'un émolument, arrêté en l’espèce à CHF 200.-.</w:t>
      </w:r>
    </w:p>
    <w:p>
      <w:r>
        <w:t>A/3604/2019 - 38/38 -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