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ATAS/141/2015 vom 25. Februar 2015</w:t>
      </w:r>
    </w:p>
    <w:p>
      <w:r>
        <w:t>GE Cour de justice, 2015-02-25, FR</w:t>
      </w:r>
    </w:p>
    <w:p>
      <w:r>
        <w:rPr>
          <w:b/>
        </w:rPr>
        <w:t xml:space="preserve">Quelle: </w:t>
      </w:r>
      <w:r>
        <w:t>https://mcp.opencaselaw.ch/entscheid/ge_gerichte_ATAS_141_2015</w:t>
      </w:r>
    </w:p>
    <w:p>
      <w:r>
        <w:t>FR: GE_GERICHTE ATAS/141/2015 du 25 février 2015</w:t>
      </w:r>
    </w:p>
    <w:p>
      <w:r>
        <w:t>IT: GE_GERICHTE ATAS/141/2015 del 25 febbraio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 teneur de l'art. 1 al. 1 LAVS, les dispositions de la LPGA s'appliquent aux art. 1 à 97 LAVS, à moins que la loi n'y déroge expressément.</w:t>
      </w:r>
    </w:p>
    <w:p>
      <w:r>
        <w:t>A/1080/2014 - 9/23 -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17 mars 2011 modifiant la LAVS sont entrées en vigueur le 1er janvier 2012. Sur le plan matériel, sont en principe applicables les règles de droit en vigueur au moment où les faits juridiquement déterminants se sont produits (ATF 129 V 1 consid. 1; ATF 127 V 467 consid. 1 et les références). En l'espèce, au vu des faits pertinents, à savoir notamment l’ouverture de la faillite de la Sàrl, le droit applicable est le droit en vigueur dès le 1er janvier 2012 (ATF 130 V 329 et 445 ainsi que les références).</w:t>
      </w:r>
    </w:p>
    <w:p>
      <w:r>
        <w:rPr>
          <w:b/>
        </w:rPr>
        <w:t>E. 3</w:t>
      </w:r>
    </w:p>
    <w:p>
      <w:r>
        <w:t>Le délai de recours est de 30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la responsabilité du recourant dans le préjudice causé à l’intimée par le défaut de paiement des cotisations sociales (AVS-AI-APG et AC ainsi qu’AMat et AF) pour les années 2007 à 2010, plus particulièrement sur la question de savoir s’il a violé les prescriptions en la matière intentionnellement ou par négligence grave.</w:t>
      </w:r>
    </w:p>
    <w:p>
      <w:r>
        <w:rPr>
          <w:b/>
        </w:rPr>
        <w:t>E. 5</w:t>
      </w:r>
    </w:p>
    <w:p>
      <w:r>
        <w:t>Le recourant invoquant la nullité de la décision sur opposition au motif qu’elle ne mentionne pas le nom du signataire, il y a lieu d’examiner ce grief de nature formelle à titre préalable. a) Dans un arrêt U 68/02 du 14 avril 2003 consid. 1, le Tribunal fédéral des assurances a jugé que lorsque l’assureur a omis de signer une décision sur opposition, ce seul motif n’entraîne pas la nullité de cette dernière. En effet, selon la jurisprudence, la signature n’est pas une condition de validité d’une décision notifiée par écrit pour autant que la loi n’exige pas expressément en plus de la forme écrite une signature manuscrite de la part du fonctionnaire compétent pour l’acte administratif. b) La LPGA, entrée en vigueur le 1er janvier 2003, coordonne le droit fédéral des assurances sociales. Elle a pour but notamment d'uniformiser la procédure en matière d'assurances sociales, en fixant les normes d'une procédure uniforme et en réglant l'organisation judiciaire dans ce domaine (art. 1 let. b LPGA). Les dispositions générales de procédure font l'objet du chapitre 4, dont les sections 1 et 2 (art. 27 à 55 LPGA) concernent la procédure non contentieuse. Aux termes de l’art. 55 al. 1 LPGA, les points de procédure qui ne sont pas réglés de manière exhaustive aux articles 27 à 54 ou par les dispositions des lois spéciales sont régis par la loi fédérale sur la procédure administrative du 20 décembre 1968</w:t>
      </w:r>
    </w:p>
    <w:p>
      <w:r>
        <w:t>A/1080/2014 - 10/23 - (PA - RS 172.021). Ainsi, il faut déterminer si, dans la LPGA elle-même ou dans une loi spéciale, un point particulier de procédure est réglementé exhaustivement. Si tel n’est pas le cas, l’éventuelle réglementation de la PA s’applique (KIESER, Bundesgesetz über den Allgemeinen Teil des Sozialversicherungsrechts (ATSG), in: Schweizerisches Bundesverwaltungsrecht [SBVR], Soziale Sicherheit, 2ème éd., n. 193 p. 243). L’art. 55 LPGA a pour conséquence que les dispositions de la PA sont applicables à titre complémentaire à la procédure de tous les assureurs des différentes branches des assurances sociales. Dès lors, depuis le 1er janvier 2003, la procédure devant les organes d’exécution est régie par les articles 34 à 55 LPGA ou à titre complémentaire par la PA et non par le droit de procédure cantonal (cf. dans ce sens ATF 133 V 441 consid. 3; ATF 131 V 153 consid 3.1 et 6.1). c) L’art. 52 LPGA qui régit la décision sur opposition ne contient aucune exigence de signature, respectivement de mention du nom du signataire, pas plus que l’art. 49 LPGA qui règle de façon générale la décision. Pour leur part, les art. 34 et 35 PA qui traitent de la décision ne mentionnent pas davantage de telles exigences formelles. d) En l’espèce, le gestionnaire en charge du dossier a signé la décision sur opposition du 14 mars 2014 qui ne mentionne pas son nom mais uniquement ses initiales. Dans la mesure où aucune disposition légale régissant la procédure du droit des assurances sociales n’exige qu’une décision écrite contienne une signature manuscrite, une telle décision avec signature manuscrite de son auteur sans que le nom de ce dernier ne soit mentionné en toutes lettres n’est a fortiori pas frappée de nullité, mais est parfaitement valable formellement.</w:t>
      </w:r>
    </w:p>
    <w:p>
      <w:r>
        <w:rPr>
          <w:b/>
        </w:rPr>
        <w:t>E. 6</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A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w:t>
      </w:r>
    </w:p>
    <w:p>
      <w:r>
        <w:t>A/1080/2014 - 11/23 -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Selon le Message relatif à la modification de la loi fédérale sur l’assurance- vieillesse et survivants (LAVS) du 3 décembre 2010 relatif à l’art. 52 LAVS al. 2 à 4 (FF 2011 519, p. 536), la nouvelle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w:t>
      </w:r>
    </w:p>
    <w:p>
      <w:r>
        <w:rPr>
          <w:b/>
        </w:rPr>
        <w:t>E. 7</w:t>
      </w:r>
    </w:p>
    <w:p>
      <w:r>
        <w:t>En premier lieu, il convient d’examiner d’office si la prétention de la caisse est prescrite.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pas sauvegardés une fois pour toutes avec la décision relative aux dommages- intérêts;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ATF 126 V 443 consid. 3a; ATF 121 III 382 consid. 3bb;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w:t>
      </w:r>
    </w:p>
    <w:p>
      <w:r>
        <w:t>A/1080/2014 - 12/23 -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5 ans (ATF 129 V 193 consid. 2.2;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Par moment de la « connaissance du dommage »,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En cas de faillite, le moment de la connaissance du dommage correspond en règle générale à celui du dépôt de l'état de collocation, ou celui de la publication de la suspension de la liquidation de la faillite faute d'actifs (ATF 129 V 193 consid. 2.3). Ces principes s'appliquent aussi en cas de faillite liquidée par la procédure sommaire car le jugement ordonnant la liquidation sommaire ne permet pas à lui seul de connaître le dommage (ATF 126 V 445 consid. 3b; ATF 116 V 77 in fine; VSI 1995 p. 199 consid. 3c). Si la faillite n'est liquidée ni selon la procédure ordinaire ni selon la procédure sommaire, il faut admettre que la connaissance du dommage - né au moment de l'ouverture de la faillite - intervient en règle générale au moment de la suspension de la faillite faute d'actifs, la date de la publication de cette mesure dans la FOSC étant déterminante (ATF 123 V 12 consid. 5c; arrêt du Tribunal fédéral des assurances H 266/02 du 4 avril 2003).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188/04 du 28 novembre 2005 consid. 4.1). e) Tandis que le juge ne peut interrompre la prescription que par une ordonnance ou une décision, «chaque acte judiciaire des parties»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w:t>
      </w:r>
    </w:p>
    <w:p>
      <w:r>
        <w:t>A/1080/2014 - 13/23 -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rPr>
          <w:b/>
        </w:rPr>
        <w:t>E. 8</w:t>
      </w:r>
    </w:p>
    <w:p>
      <w:r>
        <w:t>En l’espèce, à la suite d’un contrôle auprès de l’employeur effectué les 28 octobre 2010 et 19 janvier 2011, l’intimée a procédé à une reprise de cotisations pour les années 2007 à 2009 par décisions du 27 janvier 2011. Les poursuites introduites pour obtenir le paiement desdits arriérés de cotisations s’étant révélées infructueuses, elle a obtenu des actes de défauts de biens en date des 16 décembre 2011 et 5 janvier 2012, modifiés le 18 mars 2012. Par la suite, elle a appris par la FOSC du 15 mars 2012 que la Sàrl avait été déclarée en faillite le 9 février 2012, puis par la FAO du 17 juillet 2012 que celle-ci avait été suspendue le 5 juillet 2012. La chambre de céans ne disposant pas des pièces nécessaires pour déterminer si la caisse a subi un dommage déjà avant la faillite, en raison de l’insolvabilité de l’employeur, il convient de retenir que l’intimée a eu connaissance du dommage au plus tôt, le 16 décembre 2011, lors de la délivrance des actes de défaut de biens et au plus tard, le 17 juillet 2012, lors de la publication dans la FOSC de la suspension de la faillite de la société faute d’actifs. S’agissant des cotisations dues pour l’année 2010, l’intimée les a réclamées par décision du 25 mai 2011, puis a obtenu par jugement du 27 janvier 2012 la mainlevée définitive de l’opposition formée au commandement de payer notifié à leur sujet. Par conséquent, le dommage est survenu le 9 février 2012, date du prononcé de la faillite, et l’intimée en a eu connaissance le 17 juillet 2012, au moment de la publication de la suspension de la faillite. Au vu de ce qui précède, force est de constater qu’en demandant la réparation de son dommage par décision du 10 avril 2013, l'intimée a respecté tant le délai de prescription de deux ans que celui de cinq ans. Puis, en rendant une décision sur opposition le 14 mars 2014, l’intimée a interrompu une nouvelle fois les délais de prescription.</w:t>
      </w:r>
    </w:p>
    <w:p>
      <w:r>
        <w:rPr>
          <w:b/>
        </w:rPr>
        <w:t>E. 9</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entre son comportement et le dommage causé à l’intimée. A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t>A/1080/2014 - 14/23 -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ATF 117 II 570 consid. 3; arrêt du Tribunal fédéral des assurances H 128/04 du</w:t>
      </w:r>
    </w:p>
    <w:p>
      <w:r>
        <w:rPr>
          <w:b/>
        </w:rPr>
        <w:t>E. 14</w:t>
      </w:r>
    </w:p>
    <w:p>
      <w:r>
        <w:t>Selon les parties, l’apport d’affaires peut être considéré comme une activité salariée dépendante (représentant commercial ou voyageur) comme le soutient l’intimée ou indépendante sous forme de contrat de commissionnement (art. 418u CO) de courtage (art. 412 CO) ou de mandat (art. 397 CO) comme l’allègue le recourant.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art. 6 ss RAVS).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En vertu de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161 consid. 1; ATF 122 V 169 consid. 3a et 281 consid. 2a; ATF 119 V 161 consid. 2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(cf. arrêt du Tribunal fédéral des assurances H 6/05, op. cit. consid. 2.3).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RCC 1986 p. 651 consid. 4c; RCC 1982 p. 178 consid. 2b). Un autre</w:t>
      </w:r>
    </w:p>
    <w:p>
      <w:r>
        <w:t>A/1080/2014 - 20/23 -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3a).</w:t>
      </w:r>
    </w:p>
    <w:p>
      <w:r>
        <w:rPr>
          <w:b/>
        </w:rPr>
        <w:t>E. 15</w:t>
      </w:r>
    </w:p>
    <w:p>
      <w:r>
        <w:t>Le recourant réclame des actes d’instruction complémentaires afin d’établir que les décisions de reprise de l’intimée sont partiellement fausses dans la mesure où la Sàrl n’avait pas à payer des cotisations sociales sur les commissions versées à l’apporteur d’affaires. Pour sa part, l’intimée en fait de même pour démontrer que les commissions versées à l’apporteur d’affaires sont soumises à cotisations.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En l’espèce, les actes d’instructions requis par les parties ne sont d’aucune utilité pour résoudre la question litigieuse seule déterminante dans la présente procédure de la négligence grave du recourant. Par conséquent, l’état de fait est suffisamment instruit et il permet à la chambre de céans de statuer en toute connaissance de cause, de sorte qu’il n’y a pas lieu de donner suite aux requêtes des parties.</w:t>
      </w:r>
    </w:p>
    <w:p>
      <w:r>
        <w:rPr>
          <w:b/>
        </w:rPr>
        <w:t>E. 16</w:t>
      </w:r>
    </w:p>
    <w:p>
      <w:r>
        <w:t>En l’espèce, selon les pièces du dossier, la Sàrl a transféré € 28'957.71 à G______ SAS, le 2 juillet 2007. En outre, l’apporteur d’affaires a émis à son nom une facture n° 200804 datée du 4 janvier 2008 à l’adresse de la Sàrl en indiquant comme lieu de facturation Grenoble. L’intitulé de la facture est « apport de fournisseurs d’alliages à trier » et mentionne une quantité de 100 tonnes ainsi qu’un montant de € 400'000 .- à régler au fur et mesure des livraisons de ces fournisseurs. Puis, le</w:t>
      </w:r>
    </w:p>
    <w:p>
      <w:r>
        <w:rPr>
          <w:b/>
        </w:rPr>
        <w:t>E. 19</w:t>
      </w:r>
    </w:p>
    <w:p>
      <w:r>
        <w:t>mai 2008, la Sàrl a transféré à l’apporteur d’affaires € 31'592.59. Selon le rapport du contrôleur du 25 janvier 2011, la reprise de cotisations pour l’année 2007 concerne notamment une commission de CHF 43'436.- versée à l’apporteur d’affaires. D’après les indications données par le directeur, ce dernier serait associé dans une société domiciliée à Grenoble. Quant à la reprise de cotisations pour l’année 2008, elle se réfère notamment à une commission de CHF 633’351.- ayant trait à la facture n°200804. Au regard de la jurisprudence susmentionnée, il y a généralement lieu de considérer que l’apporteur d’affaires exerce une activité indépendante. Dans le présent cas, en contrepartie de son activité exercée en faveur de la Sàrl, l’apporteur d’affaires a été</w:t>
      </w:r>
    </w:p>
    <w:p>
      <w:r>
        <w:t>A/1080/2014 - 21/23 - payé sous forme de commissions versées au fur et à mesure des livraisons d’alliages par les fournisseurs. Par conséquent, au vu du caractère nettement aléatoire de son activité, l’apporteur d’affaires encourrait un risque d’entrepreneur qui est un critère important pour retenir l’exercice d’une activité indépendante. En outre, eu égard à la facture émise, aux fournisseurs que l’apporteur d’affaires mettait en rapport avec la Sàrl et au montant des contrats conclus entre ladite clientèle et la Sàrl, rien ne justifie de s’écarter du principe que l’apporteur d’affaires a exercé une activité indépendante en faveur de la Sàrl. Dès lors, on ne saurait considérer que les organes de la société ont commis d’emblée une négligence grave en retenant que le revenu de l’apporteur d’affaires n’était pas soumis à cotisations sociales, au vu de sa nationalité française et de son statut de PDG de SAS sises en France pour lesquelles il a affirmé au recourant être affilié aux assurances sociales françaises. En effet, au regard des incertitudes juridiques quant au statut de cotisant des personnes apportant des affaires à une entreprise, une faute grave de la part du recourant ne saurait être présumée. De plus, selon les circonstances concrètes du cas d’espèce, notamment eu égard à la clarté, sous l'angle de la réglementation en matière d'AVS, de la situation du courtier qui s’apparente à celle de l’apporteur d’affaires, la Sàrl pouvait partir du principe que l’apporteur d’affaires avait un statut d’indépendant, de sorte qu’elle n’avait pas à payer de cotisations sociales sur les commissions versées. Par conséquent, on ne peut pas reprocher au recourant une négligence grave pour ce qui a trait auxdites cotisations sociales. En revanche, le recourant a commis une négligence grave pour ce qui concerne les cotisations sociales dues sur les commissions versées tant au directeur, à savoir CHF 233'476.- en 2007, CHF 14'843.- en 2008 (sous déduction d’une franchise de CHF 4'200.-) et CHF 125'400.- en 2009 (sous déduction d’une franchise de CHF 16’800.-), qu’à son fils, soit CHF 7'400.- en 2007. En effet, il savait pertinemment que ces indemnisations étaient soumises à cotisations sociales et même si la Sàrl avait été désorganisée en 2006 à la suite du détournement de fonds opéré par son ancienne secrétaire, la chambre de céans ne discerne pas en quoi ces faits expliquent l’absence de paiements de cotisations sociales sur les commissions versées au directeur et à son fils de 2007 à 2009. En effet, les reprises de cotisations reposent sur les pièces comptables qui étaient en possession de la Sàrl puisqu’elles ont été mises à disposition du contrôleur par le comptable et le directeur en octobre 2010 et en janvier 2011. Même si la situation comptable était confuse à la suite du détournement de fonds, il incombait au recourant, en tant que gérant de la Sàrl avec signature individuelle, de veiller personnellement à ce que les cotisations paritaires afférentes aux salaires et commissions versés fussent effectivement payées à l'AVS (SVR 2003 AHV n° 5 p. 14 consid. 5.3.2; arrêt du Tribunal fédéral 9C_672/2012 du 3 juin 2013 consid. 5.2). Il en va de même s’agissant des cotisations dues pour l’année 2010, de sorte que le recourant a commis une négligence grave en ne payant pas les cotisations sociales relatives aux salaires versés aux deux employés</w:t>
      </w:r>
    </w:p>
    <w:p>
      <w:r>
        <w:t>A/1080/2014 - 22/23 - durant l’année 2010. Par conséquent, les actes délictueux de l’ancienne secrétaire n’ont pas produit, au degré de la vraisemblance prépondérante, une rupture du lien de causalité entre la violation par négligence grave des prescriptions en matière de cotisations sociales par le recourant et le dommage subi par l'intimée (cf. dans le même sens, arrêt du Tribunal fédéral 9C_672/2012, op. cit., consid. 5.2). En définitive, il y a lieu de renvoyer le dossier à l’intimée pour qu’elle procède à un nouveau calcul du dommage, en déduisant les cotisations réclamées sur les commissions versées à l’apporteur d’affaires en 2007 et 2008, puis qu’elle rende une nouvelle décision. 17. Au vu de ce qui précède, le recours est partiellement admis au sens des considérants et le dossier renvoyé à l’intimée pour nouvelle décision. Le recourant, qui obtient partiellement gain de cause, a droit en principe à une indemnité de dépens (art. 61 let. g LPGA). Lorsque cette partie est un avocat, elle a droit exceptionnellement à une indemnité, même si elle agit dans sa propre cause sans l'assistance d'un collègue (ATF 125 II 518 consid. 5b; arrêt du Tribunal fédéral des assurances H 47/06 du 11 décembre 2006 consid. 5.2; arrêt du Tribunal fédéral 5P.414/2002 du 22 avril 2003 consid. 3). Par ailleurs, la jurisprudence pose des conditions cumulatives à l'octroi d'une telle indemnité, à savoir la complexité de l'affaire, le montant litigieux et le temps consacré à la défense de ses propres intérêts (cf. ATF 113 Ib 353 consid. 6b; ATF 110 V 72 consid. 7 et 132 consid. 4d et 7). En l’espèce, l’affaire n’est pas d’une complexité et d’une valeur litigieuse telles qu’elle justifie d’accorder exceptionnellement au recourant une indemnité de dépens. En outre, dans ses écritures successives, il a repris ce qu’il avait déjà mentionné précédemment en ajoutant seulement certains points, de sorte qu’il n’a pas consacré un temps extraordinairement important à la défense de ses propres intérêts. Aucune des conditions cumulatives n’étant réalisée, il n’y a pas lieu de lui accorder une participation à ses frais et dépens. Pour le surplus, la procédure est gratuite (art. 61 let. a LPGA).</w:t>
      </w:r>
    </w:p>
    <w:p>
      <w:r>
        <w:t>A/1080/2014 - 23/23 - PAR CES MOTIFS, LA CHAMBRE DES ASSURANCES SOCIALES : Statuant A la forme : 1. Déclare le recours recevable. Au fond : 2. L’admet partiellement et annule la décision sur opposition du 14 mars 2014 au sens des considérants. 3. Renvoie le dossier à l’intimée pour nouvelle décision au sens des considérants. 4. Dit que le recourant n’a pas droit à une indemnité pour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