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ATAS/141/2014 vom 3. Februar 2014</w:t>
      </w:r>
    </w:p>
    <w:p>
      <w:r>
        <w:t>GE Cour de justice, 2014-02-03, FR</w:t>
      </w:r>
    </w:p>
    <w:p>
      <w:r>
        <w:rPr>
          <w:b/>
        </w:rPr>
        <w:t xml:space="preserve">Quelle: </w:t>
      </w:r>
      <w:r>
        <w:t>https://mcp.opencaselaw.ch/entscheid/ge_gerichte_ATAS_141_2014</w:t>
      </w:r>
    </w:p>
    <w:p>
      <w:r>
        <w:t>FR: GE_GERICHTE ATAS/141/2014 du 3 février 2014</w:t>
      </w:r>
    </w:p>
    <w:p>
      <w:r>
        <w:t>IT: GE_GERICHTE ATAS/141/2014 del 3 febbraio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en temps utile, le recours est recevable (art. 60 al. 1 LPGA ; art. 43 LPCC).</w:t>
      </w:r>
    </w:p>
    <w:p>
      <w:r>
        <w:rPr>
          <w:b/>
        </w:rPr>
        <w:t>E. 3</w:t>
      </w:r>
    </w:p>
    <w:p>
      <w:r>
        <w:t>Le litige porte sur le bien-fondé du refus de remise de l’obligation de la recourante de restituer la somme de 42'127 fr. 50.</w:t>
      </w:r>
    </w:p>
    <w:p>
      <w:r>
        <w:rPr>
          <w:b/>
        </w:rPr>
        <w:t>E. 4</w:t>
      </w:r>
    </w:p>
    <w:p>
      <w:r>
        <w:t>a) Au plan fédéral, selon l’art. 25 al. 1 LPGA, les prestations indûment touchées doivent être restituées. La restitution ne peut être exigée lorsque l'intéressé était de bonne foi et qu'elle le mettrait dans une situation difficile.</w:t>
      </w:r>
    </w:p>
    <w:p>
      <w:r>
        <w:t>A/3763/2013 - 7/9 - Selon l’art. 3 al. 1 et 2 OPGA, l'étendue de l'obligation de restituer est fixée par une décision (al. 1). L'assureur indique la possibilité d'une remise dans la décision en restitution (al. 2). Selon l’art. 4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b) Au plan cantonal, selon l’art. 24 al. 1 et 2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Selon l’art. 15 RPCC-AVS/AI,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utiles et déposée au plus tard 30 jours à compter de l'entrée en force de la décision en restitution (al. 2). La remise fait l'objet d'une décision (al. 3). Selon l’art. 33 al. 1 LALAMal, les subsides indûment touchés doivent être restitués en appliquant par analogie l'article 25 de la loi fédérale sur la partie générale du droit des assurances sociales, du 6 octobre 2000.</w:t>
      </w:r>
    </w:p>
    <w:p>
      <w:r>
        <w:rPr>
          <w:b/>
        </w:rPr>
        <w:t>E. 5</w:t>
      </w:r>
    </w:p>
    <w:p>
      <w:r>
        <w:t>S’agissant de la condition de la bonne foi, le Tribunal fédéral a précisé que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consid. 2c p. 103; 110 V 176 consid. 3c p. 180). Il y a négligence grave quand un ayant droit ne se conforme pas à ce qui peut raisonnablement être exigé d'une personne capable de discernement dans une situation identique et dans les mêmes circonstances (ATF 110 V 176 consid. 3d p. 181). On ajoutera que la bonne foi doit</w:t>
      </w:r>
    </w:p>
    <w:p>
      <w:r>
        <w:t>A/3763/2013 - 8/9 - être niée quand l'enrichi pouvait, au moment du versement, s'attendre à son obligation de restituer, parce qu'il savait ou devait savoir, en faisant preuve de l'attention requise, que la prestation était indue (art. 3 al. 2 CC; ATF 130 V 414 consid. 4.3 p. 419 sv et les références ; ATF du 27 octobre 2013 9C_319/2013).</w:t>
      </w:r>
    </w:p>
    <w:p>
      <w:r>
        <w:rPr>
          <w:b/>
        </w:rPr>
        <w:t>E. 6</w:t>
      </w:r>
    </w:p>
    <w:p>
      <w:r>
        <w:t>En l’espèce, la décision de restitution de 42'127 fr. 50 est entrée en force suite à l’arrêt de la Cour du 6 août 2012 (ATAS/948/2012). Demeure ainsi seule litigieuse la demande de remise formée par la recourante et refusée par l’intimé. A cet égard, la Cour de céans constate que la décision litigieuse ne peut qu’être confirmée, la condition de la bonne foi n’étant manifestement pas remplie en l’espèce, la recourante admettant elle-même avoir sciemment renoncé à annoncer aux autorités suisse les indemnités perçues en France ; il convient par ailleurs d’admettre qu’elle pouvait aisément se rendre compte que la perception de ce capital était de nature à influencer son droit aux prestations versées par l’intimé ; l’omission d’annoncer ledit montant à ce dernier relève ainsi d’une négligence grave (à cet égard ATF du 17 décembre 2013 8C 1032/2012).</w:t>
      </w:r>
    </w:p>
    <w:p>
      <w:r>
        <w:rPr>
          <w:b/>
        </w:rPr>
        <w:t>E. 7</w:t>
      </w:r>
    </w:p>
    <w:p>
      <w:r>
        <w:t>Partant, le recours ne peut qu’être rejeté.</w:t>
      </w:r>
    </w:p>
    <w:p>
      <w:r>
        <w:t>A/3763/2013 - 9/9 -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