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ATAS/141/2012 vom 16. Februar 2012</w:t>
      </w:r>
    </w:p>
    <w:p>
      <w:r>
        <w:t>GE Cour de justice, 2012-02-16, FR</w:t>
      </w:r>
    </w:p>
    <w:p>
      <w:r>
        <w:rPr>
          <w:b/>
        </w:rPr>
        <w:t xml:space="preserve">Quelle: </w:t>
      </w:r>
      <w:r>
        <w:t>https://mcp.opencaselaw.ch/entscheid/ge_gerichte_ATAS_141_2012</w:t>
      </w:r>
    </w:p>
    <w:p>
      <w:r>
        <w:t>FR: GE_GERICHTE ATAS/141/2012 du 16 février 2012</w:t>
      </w:r>
    </w:p>
    <w:p>
      <w:r>
        <w:t>IT: GE_GERICHTE ATAS/141/2012 del 16 febbraio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décision de l'OAI a été adressée au recourant le 6 juillet 2011 et reçue par lui le lendemain. Aux termes de l'art. 60 LAPG, le recours doit être déposé dans les 30 jours suivant la notification de la décision. L'art. 89 C lit. b dispose cependant que les délais en jours ou en mois fixés par la loi ne courent pas du 15 juillet au 15 août inclusivement. Le délai de recours expire donc le 7 septembre 2011. Interjeté le 1er septembre 2011, le recours a été formé en temps utile.</w:t>
      </w:r>
    </w:p>
    <w:p>
      <w:r>
        <w:rPr>
          <w:b/>
        </w:rPr>
        <w:t>E. 3</w:t>
      </w:r>
    </w:p>
    <w:p>
      <w:r>
        <w:t>Le recourant est le destinataire de la décision querellée. La Chambre des assurances sociales de la Cour de justice est le Tribunal des assurances du domicile du recourant de sorte que le présent recours est recevable.</w:t>
      </w:r>
    </w:p>
    <w:p>
      <w:r>
        <w:rPr>
          <w:b/>
        </w:rPr>
        <w:t>E. 4</w:t>
      </w:r>
    </w:p>
    <w:p>
      <w:r>
        <w:t>Le litige porte sur le droit du recourant à percevoir une rente d'invalidité et à bénéficier d'un reclassement professionnel.</w:t>
      </w:r>
    </w:p>
    <w:p>
      <w:r>
        <w:rPr>
          <w:b/>
        </w:rPr>
        <w:t>E. 5</w:t>
      </w:r>
    </w:p>
    <w:p>
      <w:r>
        <w:t>Le Tribunal cantonal des assurances sociales, remplacé dès le 1er janvier 2011 par la Cour de justice, Chambre des assurances sociales, a établi par arrêt du 20 mai 2010 que le recourant est capable de travailler dans une autre activité à plein temps dans une activité adaptée. La Cour ne voit pas de motif de modifier cette appréciation.</w:t>
      </w:r>
    </w:p>
    <w:p>
      <w:r>
        <w:rPr>
          <w:b/>
        </w:rPr>
        <w:t>E. 6</w:t>
      </w:r>
    </w:p>
    <w:p>
      <w:r>
        <w:t>Le Tribunal cantonal des assurances sociales a renvoyé le dossier pour complément d'instruction, en particulier sur la quotité exacte de la diminution de rendement et les activités professionnelles concrètes entrant en considération. L'OAI était aussi invitée à déterminer si un reclassement ou une autre mesure d'ordre professionnel pouvait être de nature à maintenir ou à améliorer la capacité de gain.</w:t>
      </w:r>
    </w:p>
    <w:p>
      <w:r>
        <w:rPr>
          <w:b/>
        </w:rPr>
        <w:t>E. 7</w:t>
      </w:r>
    </w:p>
    <w:p>
      <w:r>
        <w:t>Il est préalablement rappelé qu'aux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al. 1 LAI, l'invalidité peut résulter d'une infirmité congénitale, d'une maladie ou d'un accident. L'invalidité est réputée survenue dès</w:t>
      </w:r>
    </w:p>
    <w:p>
      <w:r>
        <w:t>A/2632/2011 - 10/13 - qu'elle est, par sa nature et sa gravité, propre à ouvrir droit aux prestations entrant en considération.</w:t>
      </w:r>
    </w:p>
    <w:p>
      <w:r>
        <w:rPr>
          <w:b/>
        </w:rPr>
        <w:t>E. 8</w:t>
      </w:r>
    </w:p>
    <w:p>
      <w:r>
        <w:t>L'art. 8 LAI précise que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Le droit aux mesures de réadaptation n'est pas lié à l'exercice d'une activité lucrative préalable. Lors de la fixation de ces mesures, il est tenu compte de la durée probable de la vie professionnelle restante.</w:t>
      </w:r>
    </w:p>
    <w:p>
      <w:r>
        <w:rPr>
          <w:b/>
        </w:rPr>
        <w:t>E. 9</w:t>
      </w:r>
    </w:p>
    <w:p>
      <w:r>
        <w:t>Est réputée incapacité de travail,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rPr>
          <w:b/>
        </w:rPr>
        <w:t>E. 10</w:t>
      </w:r>
    </w:p>
    <w:p>
      <w:r>
        <w:t>L'incapacité de gain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rPr>
          <w:b/>
        </w:rPr>
        <w:t>E. 11</w:t>
      </w:r>
    </w:p>
    <w:p>
      <w:r>
        <w:t>La notion d'invalidité est une notion économique et non médicale. Ce sont les conséquences économiques objectives de l'incapacité fonctionnelle qu'il importe d'évoluer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 A non publié du 19 avril 2002, 1,1 554/01).</w:t>
      </w:r>
    </w:p>
    <w:p>
      <w:r>
        <w:rPr>
          <w:b/>
        </w:rPr>
        <w:t>E. 12</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FEDERAL DE LA STATISTIQUE (ATF 126 V 76 consid. 3b/aa et bb). La mesure dans laquelle les salaires ressortant des statistiques doit être réduite dépend de l'ensemble des circonstances personnelles et professionnelles du particulier (limitation liée aux handicaps, âge, années de service, nationalité/catégorie d'autorisation de séjour et taux d'occupation) et résulte d'une évaluation dans les limites du pouvoir d'appréciation. Une déduction globale maximum de 25% sur le salaire statistique</w:t>
      </w:r>
    </w:p>
    <w:p>
      <w:r>
        <w:t>A/2632/2011 - 11/13 - permet de tenir compte des différents éléments qui peuvent influencer le revenu d'une activité lucrative (ATF 126 V 78 consid. 5).</w:t>
      </w:r>
    </w:p>
    <w:p>
      <w:r>
        <w:rPr>
          <w:b/>
        </w:rPr>
        <w:t>E. 13</w:t>
      </w:r>
    </w:p>
    <w:p>
      <w:r>
        <w:t>Selon l'art. 28 LAI,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Un taux d'invalidité de 40% donne droit à ¼ de rente entière.</w:t>
      </w:r>
    </w:p>
    <w:p>
      <w:r>
        <w:rPr>
          <w:b/>
        </w:rPr>
        <w:t>E. 14</w:t>
      </w:r>
    </w:p>
    <w:p>
      <w:r>
        <w:t>Enfin, selon l'art. 17 LAI, l'assuré a droit au reclassement dans une nouvelle profession si son invalidité rend cette mesure nécessaire et que sa capacité de gain peut, selon toute vraisemblance, être maintenue ou améliorée.</w:t>
      </w:r>
    </w:p>
    <w:p>
      <w:r>
        <w:rPr>
          <w:b/>
        </w:rPr>
        <w:t>E. 15</w:t>
      </w:r>
    </w:p>
    <w:p>
      <w:r>
        <w:t>S'agissant de l'abattement sur le salaire statistique, la jurisprudence a précisé que la réduction des salaires résultant des statistiques ressorti en premier lieu à l'OAI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adoptée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préférable sa propre appréciation (ATF 126 V 75 consid. 6, p. 81; 123 V 150 consid. 2, p. 152). La Cour rappelle encore que la mesure dans laquelle les salaires résultent des statistiques doivent être réduits dépend de l'ensemble des circonstances personnelles et professionnelles du cas particulier et résulte d'une évaluation dans les limites du pouvoir d'appréciation.</w:t>
      </w:r>
    </w:p>
    <w:p>
      <w:r>
        <w:rPr>
          <w:b/>
        </w:rPr>
        <w:t>E. 16</w:t>
      </w:r>
    </w:p>
    <w:p>
      <w:r>
        <w:t>En l'espèce, il est établi qu'en raison de différentes affections arthrosiques, le recourant est incapable de travailler en qualité de cariste. Il est également établi que le recourant a une pleine capacité de travail dans une activité adaptée. Il résulte des opérations faites à l'issues du stage aux EPI que le recourant est capable de travailler avec un rendement proche de 90% dans le circuit économique normal. Il peut assimiler les instructions lui permettant d'exercer des activités pratiques peu complexes et il est apte à s'intégrer dans le milieu économique.</w:t>
      </w:r>
    </w:p>
    <w:p>
      <w:r>
        <w:rPr>
          <w:b/>
        </w:rPr>
        <w:t>E. 17</w:t>
      </w:r>
    </w:p>
    <w:p>
      <w:r>
        <w:t>Le calcul de son revenu ne donne pas lieu à contestation.</w:t>
      </w:r>
    </w:p>
    <w:p>
      <w:r>
        <w:rPr>
          <w:b/>
        </w:rPr>
        <w:t>E. 18</w:t>
      </w:r>
    </w:p>
    <w:p>
      <w:r>
        <w:t>S'agissant de la diminution de rendement, elle a été évaluée à 10% par le Dr P_________ du SMR ce qui tient compte du fait que le recourant doit alterner les positions debout/assises et éviter le port de charges lourdes. Il doit aussi pouvoir éviter les mouvements combinés de rotation. En fixant la baisse de rendement à 20%, l'OAI a adéquatement tenu compte des autres limitations fonctionnelles telle</w:t>
      </w:r>
    </w:p>
    <w:p>
      <w:r>
        <w:t>A/2632/2011 - 12/13 - notamment celle résultant de l'âge du recourant. Contrairement à ce que soutient ce dernier, les limitations fonctionnelles qu'il évoque sont bien incluses dans le taux de diminution de rendement de 20%.</w:t>
      </w:r>
    </w:p>
    <w:p>
      <w:r>
        <w:rPr>
          <w:b/>
        </w:rPr>
        <w:t>E. 19</w:t>
      </w:r>
    </w:p>
    <w:p>
      <w:r>
        <w:t>Dès lors que le recourant a une pleine capacité de travail dans une activité adaptée, la Cour ne voit pas en quoi un stage complémentaire serait utile au recourant. Le recourant ne rend pas vraisemblable qu'un reclassement dans une nouvelle profession est rendu nécessaire par son invalidité ni que sa capacité de gain serait vraisemblablement maintenue ou améliorée. Le recourant a d'ailleurs effectué un stage à l'OFFICE CANTONAL DE L'EMPLOI qui a confirmé ses bonnes aptitudes manuelles. La Cour ne voit pas de motif de s'écarter de la solution retenue par l'OAI. La décision de l'OAI sera par conséquent confirmée.</w:t>
      </w:r>
    </w:p>
    <w:p>
      <w:r>
        <w:t>A/2632/2011 - 13/13 -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