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ATAS/141/2011 vom 10. Februar 2011</w:t>
      </w:r>
    </w:p>
    <w:p>
      <w:r>
        <w:t>GE Cour de justice, 2011-02-10, FR</w:t>
      </w:r>
    </w:p>
    <w:p>
      <w:r>
        <w:rPr>
          <w:b/>
        </w:rPr>
        <w:t xml:space="preserve">Quelle: </w:t>
      </w:r>
      <w:r>
        <w:t>https://mcp.opencaselaw.ch/entscheid/ge_gerichte_ATAS_141_2011</w:t>
      </w:r>
    </w:p>
    <w:p>
      <w:r>
        <w:t>FR: GE_GERICHTE ATAS/141/2011 du 10 février 2011</w:t>
      </w:r>
    </w:p>
    <w:p>
      <w:r>
        <w:t>IT: GE_GERICHTE ATAS/141/2011 del 10 febbraio 2011</w:t>
      </w:r>
    </w:p>
    <w:p>
      <w:pPr>
        <w:pStyle w:val="Heading2"/>
      </w:pPr>
      <w:r>
        <w:t>Erwägungen</w:t>
      </w:r>
    </w:p>
    <w:p>
      <w:r>
        <w:rPr>
          <w:b/>
        </w:rPr>
        <w:t>E. 1</w:t>
      </w:r>
    </w:p>
    <w:p>
      <w:r>
        <w:t>Jusqu’au 31 décembre 2010, conformément à l'art. 56 V al. 1 let. a ch. 8 de la loi sur l'organisation judiciaire, du 22 novembre 1941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formes et délai prévus par la loi, le présent recours est recevable (art. 56 à 61 LPGA).</w:t>
      </w:r>
    </w:p>
    <w:p>
      <w:r>
        <w:rPr>
          <w:b/>
        </w:rPr>
        <w:t>E. 3</w:t>
      </w:r>
    </w:p>
    <w:p>
      <w:r>
        <w:t>Il y a lieu de rappeler que la question du bien-fondé de la demande en restitution des indemnités de chômage a d'ores et déjà été tranchée de manière définitive par le Tribunal fédéral le 22 septembre 2009. Partant, seul reste litigieuse la question de savoir si le recourant remplit les conditions permettant de lui accorder la remise de l’obligation de restituer la somme dont il est question.</w:t>
      </w:r>
    </w:p>
    <w:p>
      <w:r>
        <w:rPr>
          <w:b/>
        </w:rPr>
        <w:t>E. 4</w:t>
      </w:r>
    </w:p>
    <w:p>
      <w:r>
        <w:t>a) Le recourant invoque tout d’abord une violation de son droit d’être entendu. Il allègue n'avoir pas eu la possibilité de prouver qu’il était domicilié en Suisse durant la période où les indemnités lui ont été versées, soit du 1er décembre 2004 au 30 novembre 2006. Ce grief, de nature formelle, doit être examiné en premier lieu (cf. ATF 127 V 431 consid. 3d/aa, 124 V 90 consid. 2 notamment). b)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w:t>
      </w:r>
    </w:p>
    <w:p>
      <w:r>
        <w:t>A/459/2008 - 6/10 - celui de participer à l'administration des preuves, d'en prendre connaissance et de se déterminer à leur propos (ATF 126 I 15 consid. 2a/aa, 124 V 180 consid. 1a). Cependant, la garantie constitutionnelle du droit d’être entendu n'implique pas en principe le droit d'être entendu oralement (art. 29 al. 2 Constitution fédérale) et ne confère pas non plus à la personne partie à une procédure administrative le droit d'être auditionnée par l'autorité avant que celle-ci rende sa décision (ATF 129 V 15, consid. 1a; ATF 125 I 219 consid. 9b et les références; AUER/MALINVERNI/ HOTTELIER, Droit constitutionnel suisse, vol. II, Berne 2006, p. 610 n° 1331).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126 I 70, 126 V 130 consid. 2b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plublié, 129 III 18 consid. 2.6, 127 III 519 consid. 2a, 122 II 464 consid. 4a, 122 III 219 consid. 3c et les arrêts cités). Une telle manière de procéder ne viole pas le droit d’être entendu selon l’art. 29 al. 2 Cst. (SVR 2001 IV n. 10 p. 28 consid. 4b), la jurisprudence rendue sous l’empire de l’art. 4 aCst. étant toujours valable (ATF 124 V 94 consid. 4b, 122 V 162 consid. 1d).</w:t>
      </w:r>
    </w:p>
    <w:p>
      <w:r>
        <w:rPr>
          <w:b/>
        </w:rPr>
        <w:t>E. 5</w:t>
      </w:r>
    </w:p>
    <w:p>
      <w:r>
        <w:t>a) En l’espèce, la Cour de céans relève que l'assuré a eu la possibilité de faire valoir ses arguments tant dans sa demande de remise que dans son opposition ou encore dans son recours devant la Cour de céans, laquelle possède un plein pouvoir de cognition. Quant à ses offres de preuve concernant son domicile durant la période d'indemnisation, force est de constater qu'elles ne revêtent aucune pertinence dans le cadre de la procédure portant sur sa demande de remise. La question du domicile du recourant a en effet, ainsi que cela a été relevé plus haut, d'ores et déjà été tranchée de manière définitive et exécutoire, de sorte qu'il n'y a pas lieu d'y revenir ici (cf. en particulier le considérant 3.3 de l'ATF 8C_938/2008 du 22 septembre 2008). Il y a lieu de conclure que le droit d’être entendu du recourant a été respecté.</w:t>
      </w:r>
    </w:p>
    <w:p>
      <w:r>
        <w:rPr>
          <w:b/>
        </w:rPr>
        <w:t>E. 6</w:t>
      </w:r>
    </w:p>
    <w:p>
      <w:r>
        <w:t>a) Reste à examiner si les conditions permettant d'accorder la remise de l'obligation de restituer sont ou non réalisées.</w:t>
      </w:r>
    </w:p>
    <w:p>
      <w:r>
        <w:t>A/459/2008 - 7/10 - L'intimé répond par la négative. Il estime en effet que le recourant ne peut être reconnu de bonne foi dans la mesure où il a omis d'annoncer que son domicile réel se trouvait en France. Le recourant conteste quant à lui avoir eu la moindre intention malicieuse ou avoir commis une négligence grave. b) Aux termes de l’art. 25 LPGA, auquel renvoie l’art. 95 al. 1 LACI, les prestations indûment touchées doivent être restituées. La restitution ne peut toutefois être exigée lorsque l’intéressé était de bonne foi et qu’elle le mettrait dans une situation difficile (al. 1).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c)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négligence grave lorsque l’intéressé ne se conforme pas à ce qui peut être raisonnablement exigé de personne capable de discernement, se trouvant dans une situation identique et dans les mêmes circonstances. A cet égard, la jurisprudence développée à propos de l’art. 47 al. 1 de la loi fédérale sur l'assurance-vieillesse et survivants du 20 décembre 1946 (LAVS ; en vigueur jusqu’au 31 décembre 2002) est applicable par analogie en matière d’assurance- chômage (ATF 126 V 48, consid. 1b, p. 50).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w:t>
      </w:r>
    </w:p>
    <w:p>
      <w:r>
        <w:t>A/459/2008 - 8/10 -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consid. 2.2).</w:t>
      </w:r>
    </w:p>
    <w:p>
      <w:r>
        <w:rPr>
          <w:b/>
        </w:rPr>
        <w:t>E. 7</w:t>
      </w:r>
    </w:p>
    <w:p>
      <w:r>
        <w:t>En l'espèce, la Cour de céans constate une fois de plus que la question du lieu de domicile du recourant a définitivement été tranchée, de sorte que l'on ne saurait y revenir. Cela étant, il sera rappelé que dans le cadre de la procédure en restitution, il avait été mis en exergue par le Tribunal cantonal des assurances sociales que l’épouse du recourant et l'un de ses enfants au moins vivaient depuis 2002 à Douvaine (France) dans une villa propriété des époux depuis une dizaine d’années. Il en ressort également que le recourant n’avait pas déclaré d’emblée qu’il résidait chez son frère rue S_________, mais rue A_________. Il a été considéré comme difficilement imaginable que le recourant ait gardé une résidence à Genève, alors que sa famille n'habitait qu'à quelques kilomètres, dans un bien immobilier appartenant aux deux époux, d'autant que l'assuré figurait dans l’annuaire téléphonique de Douvaine. Le Tribunal cantonal des assurances sociales, en date du 9 octobre 2008, a conclu que l'assuré avait bien sa résidence habituelle en France, ce qui a été confirmé par notre Haute Cour. Force est dès lors de constater que le recourant, lors du dépôt de sa demande d’indemnité, a intentionnellement fourni des informations erronées concernant son domicile, informations qui ont eu pour conséquence la demande de restitution de la caisse. Au demeurant, d’après les données actuelles de l'Office cantonal de la population, le recourant est toujours marié à son épouse - alors qu'il alléguait dans la procédure en restitution en être séparé - et a quitté le canton de Genève en date du 23 décembre 2010 pour s’établir à Douvaine, ce qui conforte la Cour de céans dans le fait qu’il a bel et bien été domicilié en France depuis son retour du Maroc, soit au plus tard dès le 1er décembre 2004, et qu’il a délibérément induit la caisse en erreur en déclarant être domicilié en Suisse, de sorte qu'il ne saurait être reconnu de bonne foi. Partant, s'agissant de conditions cumulatives, il est superflu d’examiner si la restitution des prestations indûment perçues pourrait le mettre dans une situation difficile.</w:t>
      </w:r>
    </w:p>
    <w:p>
      <w:r>
        <w:t>A/459/2008 - 9/10 - C'est ainsi à juste titre que l'OCE a refusé au recourant la remise de l’obligation de restituer le montant de 149'578 fr. 30. Mal fondé, le recours doit être rejeté.</w:t>
      </w:r>
    </w:p>
    <w:p>
      <w:r>
        <w:t>A/459/2008 - 10/10 -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