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ATAS/1419/2012 vom 27. November 2012</w:t>
      </w:r>
    </w:p>
    <w:p>
      <w:r>
        <w:t>GE Cour de justice, 2012-11-27, FR</w:t>
      </w:r>
    </w:p>
    <w:p>
      <w:r>
        <w:rPr>
          <w:b/>
        </w:rPr>
        <w:t xml:space="preserve">Quelle: </w:t>
      </w:r>
      <w:r>
        <w:t>https://mcp.opencaselaw.ch/entscheid/ge_gerichte_ATAS_1419_2012</w:t>
      </w:r>
    </w:p>
    <w:p>
      <w:r>
        <w:t>FR: GE_GERICHTE ATAS/1419/2012 du 27 novembre 2012</w:t>
      </w:r>
    </w:p>
    <w:p>
      <w:r>
        <w:t>IT: GE_GERICHTE ATAS/1419/2012 del 27 novembre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et la LAI dans sa teneur en vigueur au 1er janvier 2008 sont applicables.</w:t>
      </w:r>
    </w:p>
    <w:p>
      <w:r>
        <w:rPr>
          <w:b/>
        </w:rPr>
        <w:t>E. 3</w:t>
      </w:r>
    </w:p>
    <w:p>
      <w:r>
        <w:t>Interjeté dans les formes et délai prévus par la loi, le recours est recevable (art. 56 à 61 LPGA et 38 al. 4 let. a LPGA</w:t>
      </w:r>
    </w:p>
    <w:p>
      <w:r>
        <w:t>A/2558/2012 - 5/9 -</w:t>
      </w:r>
    </w:p>
    <w:p>
      <w:r>
        <w:rPr>
          <w:b/>
        </w:rPr>
        <w:t>E. 4</w:t>
      </w:r>
    </w:p>
    <w:p>
      <w:r>
        <w:t>Le litige porte sur le droit de l'assurée à une rente d'invalidité, singulièrement sur son statut et surtout sur ses empêchements dans l'activité ménagère.</w:t>
      </w:r>
    </w:p>
    <w:p>
      <w:r>
        <w:rPr>
          <w:b/>
        </w:rPr>
        <w:t>E. 5</w:t>
      </w:r>
    </w:p>
    <w:p>
      <w:r>
        <w:t>a) Est réputée invalidité, la diminution de la capacité de gain, présumée permanente ou de longue durée, qui résulte d’une atteinte à la santé physique, ou mentale provenant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Lors de l'examen initial du droit à la rente, il convient d'examiner quelle est la méthode d'évaluation de l'invalidité qu'il s'agit d'appliquer (art. 28 al. 2 et 3 LAI en vigueur jusqu’au 31 décembre 2002 et art. 28 al. 3 et 16 LPGA en vigueur dès le 1er janvier 2003, en corrélation avec les art. 27 et ss RAI). Le choix de l'une des trois méthodes reconnues (méthode générale de comparaison des revenus, méthode spécifique et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125 V 150 consid. 2c et références). Cette évaluation tiendra également compte de la volonté hypothétique de l'assuré, qui comme fait interne ne peut être l'objet d'une administration directe de la preuve et doit être déduite d'indices extérieurs (ATFA non publié I 693/06 du 20 décembre 2006 consid. 4.1)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(ATF 130 V 393 consid. 3.3).</w:t>
      </w:r>
    </w:p>
    <w:p>
      <w:r>
        <w:t>A/2558/2012 - 6/9 - c)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d)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 al. 2 ter LAI en corrélation avec les art. 27bis al. 1 et 2 RAI et 8 al. 3 LPGA, ainsi que l'art. 16 LPGA). Ainsi, il faut évaluer d'une part l'invalidité dans les travaux habituels par comparaison des activités (art. 27 RAI) et d'autre part l'invalidité dans une activité lucrative par comparaison des revenus (art. 16 LPGA); on pourra alors déterminer l'invalidité globale d'après le temps consacré à ces deux champs d'activité. Pour évaluer l’invalidité des assurés travaillant dans le ménage, l’administration procède à une enquête sur les activités ménagères et fixe l’empêchement dans chacune des activités habituelles.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w:t>
      </w:r>
    </w:p>
    <w:p>
      <w:r>
        <w:rPr>
          <w:b/>
        </w:rPr>
        <w:t>E. 6</w:t>
      </w:r>
    </w:p>
    <w:p>
      <w:r>
        <w:t>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w:t>
      </w:r>
    </w:p>
    <w:p>
      <w:r>
        <w:t>A/2558/2012 - 7/9 -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pour le surplus permettre à l'administration de se soustraire à son obligation d'instruire et ne concerne pas au demeurant les enquêtes ménagères (ATF 137 V 210).</w:t>
      </w:r>
    </w:p>
    <w:p>
      <w:r>
        <w:rPr>
          <w:b/>
        </w:rPr>
        <w:t>E. 7</w:t>
      </w:r>
    </w:p>
    <w:p>
      <w:r>
        <w:t>En l'espèce, l'enquête ménagère effectuée par l'OAI n'est en effet pas probante. D'une part, elle ne tient pas compte des diagnostics psychiatriques et des limitations fonctionnelles pourtant retenues par deux experts psychiatres successifs et corroborées par le SMR, dans l'appréciation de la capacité de l'assurée à assumer les diverses tâches ménagères. D'autre part, l'enquêtrice substitue sa propre appréciation de ce que l'assurée "devrait être capable de faire" à ce que l'assurée est effectivement capable de faire, réellement, compte tenu des limitations liées à ses troubles psychiques. En cela, l'enquêtrice n'a non seulement pas tenu compte des explications de l'assurée, mais elle n'a pas non plus examiné l'importance de l'aide apportée par la voisine de l'assurée. Or, l'enquêtrice relève à juste titre qu'aucune aide de proches ne peut être retenue, l'assurée vivant seule et sa fille étant repartie au Maroc. C'est ainsi à juste titre que le SMR suggère le renvoi du dossier à l'OAI pour un complément d'enquête ménagère, aboutissant à un nouveau calcul des empêchements en tenant compte de l'ensemble des limitations fonctionnelles ressortant de son avis du 21 septembre 2012, des dires de l'assurée, de ce qu'elle fait et ne fait pas réellement et, le cas échéant, des informations fournies par la voisine. Pour le surplus, l'assurée semblant remettre en cause le statut ménager à 100% retenu par l'OAI, l'enquête devra également porter sur ce point. Il convient donc d'annuler la décision querellée et de renvoyer la cause pour instruction complémentaire, conformément à l'avis concordant des parties.</w:t>
      </w:r>
    </w:p>
    <w:p>
      <w:r>
        <w:rPr>
          <w:b/>
        </w:rPr>
        <w:t>E. 8</w:t>
      </w:r>
    </w:p>
    <w:p>
      <w:r>
        <w:t>Au vu de ce qui précède, la décision de l'OAI sera annulée et le recours partiellement admis, en ce sens que le dossier lui est renvoyé pour instruction complémentaire au sens des considérants et nouvelle décision. La recourante obtenant partiellement gain de cause, une indemnité de 2’000 fr. lui est allouée à titre de dépens (art. 61 let. g LPGA). La procédure de recours en matière de contestations portant sur l’octroi ou le refus de prestations de</w:t>
      </w:r>
    </w:p>
    <w:p>
      <w:r>
        <w:t>A/2558/2012 - 8/9 - l’assurance-invalidité étant soumise à des frais de justice (art. 69 al. 1bis LAI), un émolument de 200 fr. sera mis à la charge de l’intimé.</w:t>
      </w:r>
    </w:p>
    <w:p>
      <w:r>
        <w:t>A/2558/2012 - 9/9 -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