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ATAS/1419/2009 vom 16. November 2009</w:t>
      </w:r>
    </w:p>
    <w:p>
      <w:r>
        <w:t>GE Cour de justice, 2009-11-16, FR</w:t>
      </w:r>
    </w:p>
    <w:p>
      <w:r>
        <w:rPr>
          <w:b/>
        </w:rPr>
        <w:t xml:space="preserve">Quelle: </w:t>
      </w:r>
      <w:r>
        <w:t>https://mcp.opencaselaw.ch/entscheid/ge_gerichte_ATAS_1419_2009</w:t>
      </w:r>
    </w:p>
    <w:p>
      <w:r>
        <w:t>FR: GE_GERICHTE ATAS/1419/2009 du 16 novembre 2009</w:t>
      </w:r>
    </w:p>
    <w:p>
      <w:r>
        <w:t>IT: GE_GERICHTE ATAS/1419/2009 del 16 novembre 2009</w:t>
      </w:r>
    </w:p>
    <w:p>
      <w:pPr>
        <w:pStyle w:val="Heading2"/>
      </w:pPr>
      <w:r>
        <w:t>Erwägungen</w:t>
      </w:r>
    </w:p>
    <w:p>
      <w:r>
        <w:rPr>
          <w:b/>
        </w:rPr>
        <w:t>E. 1</w:t>
      </w:r>
    </w:p>
    <w:p>
      <w:r>
        <w:t>a) 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b)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w:t>
      </w:r>
    </w:p>
    <w:p>
      <w:r>
        <w:t>A/1804/2009 - 6/14 -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En l'espèce, la demande de prestations a été déposée le 21 juillet 2008. La LPGA s’applique donc au cas d’espèce. Tel est également le cas des modifications de la LAI du 21 mars 2003 (4ème révision), entrées en vigueur le 1er janvier 2004 (RO 2003 3852) et celles du</w:t>
      </w:r>
    </w:p>
    <w:p>
      <w:r>
        <w:rPr>
          <w:b/>
        </w:rPr>
        <w:t>E. 6</w:t>
      </w:r>
    </w:p>
    <w:p>
      <w:r>
        <w:t>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w:t>
      </w:r>
    </w:p>
    <w:p>
      <w:r>
        <w:t>A/1804/2009 - 9/14 - arrêts cités); il convient toutefois de renoncer à s'y référer lorsqu'il ressort de l'ensemble des circonstances du cas que l'assuré, sans invalidité, ne se serait pas contenté d'une telle rémunération de manière durable (cf. AJP 2002 1487; RCC 1992 p. 96 consid. 4a). b)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A/1804/2009 - 10/14 -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w:t>
      </w:r>
    </w:p>
    <w:p>
      <w:r>
        <w:t>A/1804/2009 - 11/14 -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En l'espèce, il n'est pas contesté que, suite au rapport d'expertise du Dr N__________, la recourante est totalement incapable de travailler et d'effectuer toute tâche ménagère depuis le 1er octobre 2006. L'intimé invoque, comme motif de révision de la rente d'invalidité reconnue depuis le 1er octobre 2007, une amélioration de l'état de santé de la recourante qui serait survenue en mai 2008. Il se fonde pour cela sur le rapport du Dr M__________ du 26 août 2008. Or, on ne saurait suivre l'intimé dans l'interprétation qu'il fait de ce rapport pour conclure à une capacité de travail entière de la recourante dès mai 2008. En effet, le Dr M__________ y relève que la recourante souffre encore, soit lors de son dernier contrôle le 23 mai 2008 de retard mental, épisode dépressif moyen avec syndrome somatique et événements difficiles avec incidences sur la</w:t>
      </w:r>
    </w:p>
    <w:p>
      <w:r>
        <w:t>A/1804/2009 - 12/14 - famille, diagnostics ayant tous une répercussion sur la capacité de travail, qu'elle présente actuellement encore les symptômes de dysthymie, dysphorie, troubles émotionnels, idées obsédantes, angoisses paroxystiques sur un fond d'anxiété quasi constante, désintégration des pulsions agressives, inquiétude, lâchage et rupture dans sa vie mentale, difficultés à élaborer, sommeils désorganisé et agitation psychomotrice, que le pronostic est sombre qu'elle suit un traitement de psychothérapie et médicamenteux de Xanax retard, Cipralex, Zolpiden et Fluoxétine, qu'on ne peut s'attendre à une reprise de l'activité professionnelle ou une amélioration de la capacité de travail et qu'il faudrait éventuellement faire un stage d'observation en se posant la question de l'amélioration de ses possibilités résiduelles pour une activité semblable à l'emploi antérieur. Cependant et de façon partiellement contradictoire, ce rapport relève aussi à la question sur "l'activité exercée à ce jour, énumération des restrictions existantes" qu'il n'y en a "aucune pour le moment" (réponse qui semble plutôt se rapporter, au vu de la multitude des symptômes actuels de la recourante décrits par le Dr M__________, à l'activité exercée à ce jour plutôt qu'aux restrictions existantes) et que, d'un point de vue médical, l'activité exercée est encore exigible. C'est en se référant uniquement à ces deux réponses que le SMR a considéré, dans son avis du 3 décembre 2008, que la recourante était entièrement capable de travailler depuis le 24 mai 2008. Or, il n'est pas possible au regard de l'ensemble des constatations médicales du Dr M__________ du 26 août 2008 de déduire, comme l'a fait le SMR, que la recourante aurait recouvré une capacité de travail entière depuis le 24 mai 2008, ce même médecin excluant, dans le même temps, toute possibilité de reprise de l'activité antérieure. Cela est d'autant plus vrai qu'antérieurement à la décision litigieuse du 23 avril 2009, d'une part, la Dresse Q__________ a attesté que la recourante souffrait d'un trouble dépressif majeur récurrent sévère avec caractéristiques psychotiques et idées délirantes, déjà constaté lors du commencement du suivi le 26 janvier 2009 et, d'autre part, la Dresse T_________ du CTB a mentionné une prise en charge de crise de la patiente du 23 février au 22 avril 2009. En conséquence, on ne saurait, au vu des rapports médicaux des Drs M__________ du 26 août 2008, Q__________ du 30 mai 2009 et T_________ du 24 juin 2009 admettre que l'état de santé de la recourante s'est amélioré de telle manière qu'elle aurait recouvré une capacité de travail entière depuis le 23 mai 2008. Au demeurant, les faits survenus postérieurement à la décision litigieuse, soit l'admission non volontaire de la recourante à la clinique Belle-Idée le 19 mai 2009 et la persistance, à la sortie, le 4 juin 2009, d'une symptomatologie dépressive sévère, attestée le 9 juin 2009 par les Drs W_________ et S_________ même s'ils ne sont pas directement pertinents dans le cadre du présent litige démontrent néanmoins que l'état de santé de la recourante s'est même aggravé par la suite, ce</w:t>
      </w:r>
    </w:p>
    <w:p>
      <w:r>
        <w:t>A/1804/2009 - 13/14 - que le SMR a d'ailleurs reconnu en admettant même que l'évolution clinique n'a clairement pas été celle attendue par le Dr N__________ le 25 mai 2007.</w:t>
      </w:r>
    </w:p>
    <w:p>
      <w:r>
        <w:rPr>
          <w:b/>
        </w:rPr>
        <w:t>E. 9</w:t>
      </w:r>
    </w:p>
    <w:p>
      <w:r>
        <w:t>Partant, aucun motif de révision au sens de l'art. 17 LPGA n'est réalisé en l'espèce, en particulier on ne saurait admettre que l'état de santé de la recourante se serait au vu de tous les avis médicaux au dossier amélioré de telle manière qu'elle aurait recouvré, depuis le 23 mai 2008, une capacité de travail entière. Il n'y a, dans ces conditions, pas lieu de donner suite à la proposition de l'intimé de lui renvoyer le dossier pour instruction complémentaire. Ainsi, la décision litigieuse doit être partiellement annulée et le droit à la rente entière d'invalidité de la recourante confirmé depuis le 1er octobre 2007.</w:t>
      </w:r>
    </w:p>
    <w:p>
      <w:r>
        <w:rPr>
          <w:b/>
        </w:rPr>
        <w:t>E. 10</w:t>
      </w:r>
    </w:p>
    <w:p>
      <w:r>
        <w:t>a) Au vu de ce qui précède, le recours sera admis et la décision litigieuse annulée en ce sens que le droit à une rente est reconnu à la recourante depuis le 1er octobre 2007.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500 fr. sera ainsi mis à la charge de l'intimé qui succombe (art. 69 al. 1bis LAI) et une indemnité de 2'500 fr. sera allouée à la recourante, à charge de l'intimé.</w:t>
      </w:r>
    </w:p>
    <w:p>
      <w:r>
        <w:t>A/1804/2009 - 14/14 -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