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ATAS/1417/2009 vom 16. November 2009</w:t>
      </w:r>
    </w:p>
    <w:p>
      <w:r>
        <w:t>GE Cour de justice, 2009-11-16, FR</w:t>
      </w:r>
    </w:p>
    <w:p>
      <w:r>
        <w:rPr>
          <w:b/>
        </w:rPr>
        <w:t xml:space="preserve">Quelle: </w:t>
      </w:r>
      <w:r>
        <w:t>https://mcp.opencaselaw.ch/entscheid/ge_gerichte_ATAS_1417_2009</w:t>
      </w:r>
    </w:p>
    <w:p>
      <w:r>
        <w:t>FR: GE_GERICHTE ATAS/1417/2009 du 16 novembre 2009</w:t>
      </w:r>
    </w:p>
    <w:p>
      <w:r>
        <w:t>IT: GE_GERICHTE ATAS/1417/2009 del 16 novembre 2009</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12 septembre 2007. La LPGA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n'ont pas à être prises en considération dans le présent litige, eu égard au principe selon lequel les règles applicables sont celles en vigueur au moment de la réalisation de l'état de fait dont les conséquences juridiques font l'objet de la décision (ATF 129 V 1 consid. 1.2 p. 4 et les arrêts cités).</w:t>
      </w:r>
    </w:p>
    <w:p>
      <w:r>
        <w:rPr>
          <w:b/>
        </w:rPr>
        <w:t>E. 2</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w:t>
      </w:r>
    </w:p>
    <w:p>
      <w:r>
        <w:t>A/2984/2009 - 8/15 - b) En l'espèce, l'OCAI a communiqué à l'assurée un projet de décision en date du 6 mars 2009, qui a été confirmé par la décision du 24 juin 2009, contre laquelle l'assurée a interjeté directement recours devant le Tribunal de céans le 19 août 2009. c) Interjeté dans les forme et délai prévus par la loi, devant l'autorité compétente, le recours est en conséquence recevable (art. 56 ss LPGA).</w:t>
      </w:r>
    </w:p>
    <w:p>
      <w:r>
        <w:rPr>
          <w:b/>
        </w:rPr>
        <w:t>E. 3</w:t>
      </w:r>
    </w:p>
    <w:p>
      <w:r>
        <w:t>L'objet du litige porte sur le droit de la recourante à une rente de l'assurance- invalidité fondé sur un degré d'invalidité supérieur à 54 %.</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w:t>
      </w:r>
    </w:p>
    <w:p>
      <w:r>
        <w:t>A/2984/2009 - 9/15 -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w:t>
      </w:r>
    </w:p>
    <w:p>
      <w:r>
        <w:t>A/2984/2009 - 10/15 -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ATF du 22 décembre 2004 I 157/04).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normalement exigible -, le revenu d'invalide peut être évalué sur la base de salaires fondés sur des données statistiques résultant des Enquêtes sur la structure des salaires (ESS), publiées par l'Office fédéral de la statistique (ATF 126 V 76 consid. 3b/aa et bb).</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A/2984/2009 - 11/15 -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A/2984/2009 - 12/15 -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le rapport d'expertise du 14 mars 2008 du Dr Q____________ remplit tous les critères jurisprudentiels pour qu'il lui soit reconnu une pleine valeur probante. L'expert a en particulier tenu compte de toutes le plaintes subjectives de la recourante, dont celles liées à un état de fatigue (rapport p. 6) et relevé que celles-ci étaient compatibles avec ce que l'on observait classiquement lors de sclérose en plaques, soit une fatigue importante, fatigabilité, troubles sensitifs et intolérance partielle à l'injection d'Interferon® (rapport p. 11). Les limitations fonctionnelles liées à l'ensemble des plaintes justifiaient une capacité de travail réduite à 50 % dans une activité adaptée. Il est à constater que les rapport des médecins-traitants n'ont pas valablement remis en cause les constatations médicales de l'expert ni ses conclusions sur la capacité de</w:t>
      </w:r>
    </w:p>
    <w:p>
      <w:r>
        <w:t>A/2984/2009 - 13/15 - travail résiduelle de la recourante. En effet, le Dr O____________ atteste que l'état de fatigue de sa patiente limite sa capacité de travail à trois heures par jour environ, soit un 25 % environ. Or, si l'on tient compte de la moyenne des heures de travail hebdomadaires en 2007 dans les entreprises soit 41,7 heures (La Vie Economique 11-2009 p. 94), on aboutit, en tenant compte d'un horaire de trois heures par jour de travail, non pas à un taux de travail de 25 % mais de 36 %, étant relevé que le médecin indique un horaire de trois heures par jour environ, sans démontrer de façon convaincante qu'une durée de travail supérieure de 15 % environ, soit un 50 %, ne serait pas possible. Par ailleurs, ce médecin ne remet pas en cause les constatations et conclusions médicales de l'expert mais se borne à estimer, sans motivation détaillée, que la patiente ne lui "paraît pas vraiment en mesure de pouvoir travailler à 50 %". Les mêmes remarques doivent être faites quant à l'avis du Dr T___________ du 4 juin 2009, lequel indique que les heures de travail sont limitées à environ trois heures par jour en raison d'une importante asthénie. Au vu de ce qui précède, il n'y a pas lieu de s'écarter des conclusions de l'expert quant à une capacité de travail de la recourante de 50 % dans une activité adaptée à ses limitations fonctionnelles. Quant au calcul du taux d'invalidité, la recourante admet le revenu annuel sans invalidité de 49'499 fr. mais invoque la prise en compte comme revenu d'invalide de son salaire mensuel net à 40 % de 938 fr. S'agissant du revenu d'invalide, la jurisprudence précise qu'il peut être évalué sur la base des statistiques sur les salaires (ESS), singulièrement les salaires mensuels bruts en partant de leur valeur centrale (médiane), comme l'a effectué l'intimé, lorsque l'assurée n'a pas repris d'activité ou alors aucune activité adaptée normalement exigible (ATF 126 V 75). Il convient ainsi de se baser sur le salaire brut et non pas net. En l'espèce, la recourante a effectivement repris un emploi à 40 % dès le 1er août 2008, soit une activité de vendeuse dans une épicerie pour un salaire mensuel brut de 1'500 fr. (soit le 40 % de 3'750 fr) jusqu'au 30 avril 2009. Dès le 1er mai 2009, elle a diminué son temps de travail puisqu'elle ne gagne plus que 1'020 fr. bruts par mois. Compte tenu des limitations fonctionnelles admises par l'expert, il y a lieu de considérer cet emploi comme une activité adaptée permettant à la recourante de mettre pleinement en valeur sa capacité de travail résiduelle, sous réserve du taux de travail effectif, lequel est inférieur à celui exigible de 50 %. La question de savoir si, au regard de la jurisprudence précitée (consid. 6), c'est le revenu de l'activité de vendeuse effectivement exercée - mais à un taux inférieur à celui médicalement exigible - qui doit être pris en compte plutôt que celui issu de l'enquête Suisse sur la structure des salaires peut rester ouverte en l'espèce dès lors que le premier aboutit à un revenu annuel brut de 22'500 fr. [(3'750 fr. x 12) : 2] et</w:t>
      </w:r>
    </w:p>
    <w:p>
      <w:r>
        <w:t>A/2984/2009 - 14/15 - le second de 22'962 fr., de sorte que le degré d'invalidité est respectivement de 54,5 % et de 54 %, l'un et l'autre étant insuffisant pour ouvrir le droit à une rente d'invalidité supérieur à une demi-rente, telle que reconnu par l'intimé.</w:t>
      </w:r>
    </w:p>
    <w:p>
      <w:r>
        <w:rPr>
          <w:b/>
        </w:rPr>
        <w:t>E. 9</w:t>
      </w:r>
    </w:p>
    <w:p>
      <w:r>
        <w:t>Au vu de ce qui précède, le recours ne peut qu'être rejeté.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200 fr. sera mis à la charge de la recourante.</w:t>
      </w:r>
    </w:p>
    <w:p>
      <w:r>
        <w:t>A/2984/2009 - 15/15 -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