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ATAS/1413/2008 vom 27. November 2008</w:t>
      </w:r>
    </w:p>
    <w:p>
      <w:r>
        <w:t>GE Cour de justice, 2008-11-27, FR</w:t>
      </w:r>
    </w:p>
    <w:p>
      <w:r>
        <w:rPr>
          <w:b/>
        </w:rPr>
        <w:t xml:space="preserve">Quelle: </w:t>
      </w:r>
      <w:r>
        <w:t>https://mcp.opencaselaw.ch/entscheid/ge_gerichte_ATAS_1413_2008</w:t>
      </w:r>
    </w:p>
    <w:p>
      <w:r>
        <w:t>FR: GE_GERICHTE ATAS/1413/2008 du 27 novembre 2008</w:t>
      </w:r>
    </w:p>
    <w:p>
      <w:r>
        <w:t>IT: GE_GERICHTE ATAS/1413/2008 del 27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t>A/788/2008 - 5 -</w:t>
      </w:r>
    </w:p>
    <w:p>
      <w:r>
        <w:rPr>
          <w:b/>
        </w:rPr>
        <w:t>E. 3</w:t>
      </w:r>
    </w:p>
    <w:p>
      <w:r>
        <w:t>L’art. 3 al. 1 LPGA prévoit que toute atteinte à la santé physique, mentale ou psychique qui n’est pas due à un accident et qui exige un examen ou un traitement médical ou provoque une incapacité de travail est réputée maladie. Est réputée invalidité l'incapacité de gain totale ou partielle qui est présumée permanente ou de longue durée (art. 8 al. 1 LPGA).</w:t>
      </w:r>
    </w:p>
    <w:p>
      <w:r>
        <w:rPr>
          <w:b/>
        </w:rPr>
        <w:t>E. 4</w:t>
      </w:r>
    </w:p>
    <w:p>
      <w:r>
        <w:t>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 ATFA non publié du 27 mars 2001 en la cause I 68/01).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du 27 mars 2001 en la cause I 68/01). Le Tribunal fédéral des assurances a encore souligné qu’il est erroné de prétendre que seuls des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(ATFA non publié du 6 mai 2002 en la cause I 275/01 et ATFA non publié du 8 août 2002 en la cause I 783/01)</w:t>
      </w:r>
    </w:p>
    <w:p>
      <w:r>
        <w:rPr>
          <w:b/>
        </w:rPr>
        <w:t>E. 5</w:t>
      </w:r>
    </w:p>
    <w:p>
      <w:r>
        <w:t>Le litige porte essentiellement sur l’appréciation du degré de capacité de travail et sur la question du caractère invalidant de la fibromyalgie avec ou sans co-morbidité dont souffre la recourante.</w:t>
      </w:r>
    </w:p>
    <w:p>
      <w:r>
        <w:t>A/788/2008 - 6 -</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7</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Dans un arrêt du 21 avril 2004 (I 621/03), le Tribunal fédéral des assurances a rappelé que les constatations faites par les spécialistes du COMAI revêtent plus de poids que l’appréciation de l’incapacité de travail par les médecins traitants de l’assuré.</w:t>
      </w:r>
    </w:p>
    <w:p>
      <w:r>
        <w:rPr>
          <w:b/>
        </w:rPr>
        <w:t>E. 9</w:t>
      </w:r>
    </w:p>
    <w:p>
      <w:r>
        <w:t>En l’occurrence, bien que les médecins du SERVICE MEDICAL REGIONAL n’ait pas examiné la recourante pour se forger une opinion, il n’en demeure pas moins qu’ils se sont basés sur le rapport des HUG ainsi que sur les rapports des médecins traitants, soit le Drs B___________ et A___________. En outre, il sied de relever que interrogé par le Tribunal de céans, le Dr. D___________ qui a suivi la recourante du 4 mars 2008 au 21 avril 2008 n’a pas remis en cause les conclusions des experts du SERVICE MEDICAL REGIONAL.</w:t>
      </w:r>
    </w:p>
    <w:p>
      <w:r>
        <w:rPr>
          <w:b/>
        </w:rPr>
        <w:t>E. 10</w:t>
      </w:r>
    </w:p>
    <w:p>
      <w:r>
        <w:t>L’existence d’une fibromyalgie étant acquise par l’ensemble des médecins consultés, la question qui doit être examiné concerne l’existence d’une fibromyalgie avec ou sans co- morbidité.</w:t>
      </w:r>
    </w:p>
    <w:p>
      <w:r>
        <w:t>A/788/2008 - 7 -</w:t>
      </w:r>
    </w:p>
    <w:p>
      <w:r>
        <w:rPr>
          <w:b/>
        </w:rPr>
        <w:t>E. 11</w:t>
      </w:r>
    </w:p>
    <w:p>
      <w:r>
        <w:t>Dans un arrêt récent ayant trait à la fibromyalgie - diagnostic retenu par les médecins qui se sont prononcés sur l'état de santé de la recourante -,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70 consid. 4.1).</w:t>
      </w:r>
    </w:p>
    <w:p>
      <w:r>
        <w:rPr>
          <w:b/>
        </w:rPr>
        <w:t>E. 12</w:t>
      </w:r>
    </w:p>
    <w:p>
      <w:r>
        <w:t>Au nombre des critères dégagés par la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w:t>
      </w:r>
    </w:p>
    <w:p>
      <w:r>
        <w:rPr>
          <w:b/>
        </w:rPr>
        <w:t>E. 13</w:t>
      </w:r>
    </w:p>
    <w:p>
      <w:r>
        <w:t>En l’espèce, l’OCAI estime, sur la base du rapport du SERVICE MEDICAL REGIONAL, qu’il ne peut notamment pas considérer le trouble de l’humeur comme co- morbidité psychiatrique invalidante, et qu’en présence d’un syndrome douloureux somatoforme, il relève l’absence de trouble de la personnalité ou autre pathologie psychiatrique incapacitant et enfin met en exergue la discordance entre les plaintes et le status neurologique, que le recourant a une capacité normale de travail.</w:t>
      </w:r>
    </w:p>
    <w:p>
      <w:r>
        <w:rPr>
          <w:b/>
        </w:rPr>
        <w:t>E. 14</w:t>
      </w:r>
    </w:p>
    <w:p>
      <w:r>
        <w:t>En l’occurrence, il sied de constater que si le Dr. E___________, lors de son audition, relève l’existence de deux co-morbidités psychiatriques soit l’épisode dépressif d’intensité moyenne et le trouble de la personnalité obsessionnel, il constate également que depuis le début du traitement au Cymbalta, la santé de la recourante a évolué positivement. De plus, un traitement psychothérapeutique pourrait permettre, selon le Dr. E___________, une amélioration du trouble de la personnalité et ainsi diminuer le risque de décompensation ou d’épuisement.</w:t>
      </w:r>
    </w:p>
    <w:p>
      <w:r>
        <w:rPr>
          <w:b/>
        </w:rPr>
        <w:t>E. 15</w:t>
      </w:r>
    </w:p>
    <w:p>
      <w:r>
        <w:t>Le Tribunal retiendra que, selon toute vraisemblance, la poursuite du traitement sur la base de médicaments et de psychothérapie devrait permettre une amélioration de la capacité de travail de la recourante tout au moins dans une autre activité que celle de coiffeuse et constatera l’absence de co-morbidité grave.</w:t>
      </w:r>
    </w:p>
    <w:p>
      <w:r>
        <w:t>A/788/2008 - 8 -</w:t>
      </w:r>
    </w:p>
    <w:p>
      <w:r>
        <w:rPr>
          <w:b/>
        </w:rPr>
        <w:t>E. 16</w:t>
      </w:r>
    </w:p>
    <w:p>
      <w:r>
        <w:t>En ce qui concerne les autres critères susceptibles d’aboutir au caractère invalidant d’un trouble somataforme douloureux, le Tribunal de céans retiendra en particulier que l’état psychique de la recourante n’est pas cristallisé et que le processus maladif n’est pas sans rémission puisque une amélioration de l’état de santé est possible, notamment, par un traitement psychothérapeutique, comme le relevait le Dr. E___________ et que de ce fait, un effort de volonté est exigible.</w:t>
      </w:r>
    </w:p>
    <w:p>
      <w:r>
        <w:rPr>
          <w:b/>
        </w:rPr>
        <w:t>E. 17</w:t>
      </w:r>
    </w:p>
    <w:p>
      <w:r>
        <w:t>En conséquence, considérant l’évolution possible au plan thérapeutique, notamment au niveau du trouble de la personnalité et du risque de décompensation ou d’épuisement, le Tribunal de céans constate que les conditions d’application de l’art. 4 al. 1 LAI ne sont pas remplies et, de ce fait, le recours devra être rejeté.</w:t>
      </w:r>
    </w:p>
    <w:p>
      <w:r>
        <w:t>A/788/2008 - 9 -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