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ATAS/1412/2012 vom 22. November 2012</w:t>
      </w:r>
    </w:p>
    <w:p>
      <w:r>
        <w:t>GE Cour de justice, 2012-11-22, FR</w:t>
      </w:r>
    </w:p>
    <w:p>
      <w:r>
        <w:rPr>
          <w:b/>
        </w:rPr>
        <w:t xml:space="preserve">Quelle: </w:t>
      </w:r>
      <w:r>
        <w:t>https://mcp.opencaselaw.ch/entscheid/ge_gerichte_ATAS_1412_2012</w:t>
      </w:r>
    </w:p>
    <w:p>
      <w:r>
        <w:t>FR: GE_GERICHTE ATAS/1412/2012 du 22 novembre 2012</w:t>
      </w:r>
    </w:p>
    <w:p>
      <w:r>
        <w:t>IT: GE_GERICHTE ATAS/1412/2012 del 22 novembre 2012</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S’agissant des prestations complémentaires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t>A/1572/2012 - 4/7 -</w:t>
      </w:r>
    </w:p>
    <w:p>
      <w:r>
        <w:rPr>
          <w:b/>
        </w:rPr>
        <w:t>E. 3</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w:t>
      </w:r>
    </w:p>
    <w:p>
      <w:r>
        <w:rPr>
          <w:b/>
        </w:rPr>
        <w:t>E. 4</w:t>
      </w:r>
    </w:p>
    <w:p>
      <w:r>
        <w:t>Ainsi que le fait remarquer l’intimé, l’objet du litige se limite à la question de savoir si c’est à juste titre que le SPC réclame la restitution des prestations qu’il estime avoir versées à tort. La question de savoir si la situation financière de la recourante lui permet de rembourser la somme réclamée relève quant à elle de la question de la remise de l’obligation de restituer, question qui ne pourra être examinée qu’une fois la décision de restitution entrée en force.</w:t>
      </w:r>
    </w:p>
    <w:p>
      <w:r>
        <w:rPr>
          <w:b/>
        </w:rPr>
        <w:t>E. 5</w:t>
      </w:r>
    </w:p>
    <w:p>
      <w:r>
        <w:t>En substance, la recourante explique qu’elle n’a disposé des fonds hérités qu’en février 2011 et non à l’ouverture de la succession.</w:t>
      </w:r>
    </w:p>
    <w:p>
      <w:r>
        <w:rPr>
          <w:b/>
        </w:rPr>
        <w:t>E. 6</w:t>
      </w:r>
    </w:p>
    <w:p>
      <w:r>
        <w:t>S’agissant de savoir à compter de quand doit être prise en compte la modification de fortune de la recourante,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 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w:t>
      </w:r>
    </w:p>
    <w:p>
      <w:r>
        <w:rPr>
          <w:b/>
        </w:rPr>
        <w:t>E. 7</w:t>
      </w:r>
    </w:p>
    <w:p>
      <w:r>
        <w:t>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w:t>
      </w:r>
    </w:p>
    <w:p>
      <w:r>
        <w:rPr>
          <w:b/>
        </w:rPr>
        <w:t>E. 8</w:t>
      </w:r>
    </w:p>
    <w:p>
      <w:r>
        <w:t>Sur ce point, l’argument de la recourante ne saurait donc être suivi. Il y a bel et bien lieu de tenir compte du montant dont elle a hérité dès le décès du de cujus, et non seulement depuis février 2011 comme elle le demande.</w:t>
      </w:r>
    </w:p>
    <w:p>
      <w:r>
        <w:t>A/1572/2012 - 5/7 - En revanche, conformément à la jurisprudence, un nouveau calcul des prestations complémentaires suppose que toutes les modifications intervenues durant la période de restitution déterminantes soient prises en compte (ATF 122 V 19, VSI 1996 p. 214). Notre Haute-Cour a indiqué qu’il y avait lieu de partir des faits tels qu’ils se présentaient réellement durant la période en cause. Il convient par ailleurs de relever que le Tribunal fédéral a souligné, dans un arrêt récent, que ni la loi, ni la jurisprudence ne permettent de procéder à l'amortissement systématique et indépendant des circonstances de la fortune du bénéficiaire (ATF non publié 9C_20/2011 du 20 février 2012, consid. 4). Si la Cour de céans n'entend pas remettre en cause le principe selon lequel un amortissement systématique n'est pas prévu par la loi, elle a néanmoins rappelé, dans un arrêt ATAS/1267/2012 du 18 octobre 2012, que, jusqu’à la date du partage, l’héritier ne dispose que d’une expectative successorale et que la valeur de la succession n'est en principe ni déterminée, ni déterminable au moment du décès. En l'espèce, la masse successorale était notamment composée d’un immeuble dont on ignorait à quelle date et à quel prix il serait aliéné. Jusqu’à ce qu’elle puisse effectivement disposer des fonds, la recourante n’a dès lors disposé que des revenus déterminants dont l’intimé a tenu compte précédemment.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Au considérant 3.3 de son arrêt précité du 17 septembre 2003, le Tribunal fédéral a au demeurant relevé que le nouveau calcul des prestations complémentaires ne peut être entrepris à la date d’ouverture de la succession, dès lors que le montant de la fortune héritée ne peut être déterminé et qu'il n'est pas certain que l’augmentation de la fortune soit suffisante pour exclure le droit aux prestations complémentaires. Compte tenu de ce qui précède, l'augmentation de la fortune d'un héritier au décès du défunt n'est pas concrète, celui-ci ne pouvant en principe pas en disposer avant que la succession ne soit réglée. Dans la mesure où la jurisprudence permet d'en tenir compte dès la mort du de cujus dans le nouveau calcul des prestations complémentaires malgré son caractère encore fictif à cette date, il ne serait pas conforme à la jurisprudence selon laquelle les modifications tant à la hausse qu'à la baisse des revenus déterminants doivent être prises en compte dans le nouveau calcul que les dépenses qu'un bénéficiaire aurait dû consentir depuis cette même date pour pourvoir à son entretien à défaut de prestations complémentaires ne soient pas prises en compte dans le nouveau calcul au motif que dites dépenses sont également fictives.</w:t>
      </w:r>
    </w:p>
    <w:p>
      <w:r>
        <w:t>A/1572/2012 - 6/7 - Les charges prises en considération correspondent à la part des prestations complémentaires qui n’aurait pas dû être versée, étant rappelé que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et qu’elles doivent ainsi permettre à leurs bénéficiaires de subvenir à leurs besoins vitaux, conformément à l'art. 112a de la Constitution (Cst; RS 101). Le montant prévu par l’art. 10 al. 1 let. a LPC inclut notamment les frais de nourriture, d'habillement, de soins corporels de consommation d'énergie (électricité, gaz, etc.), de communication, de transport ou de loisirs (ATF non publié 9C_945/2011 du 11 juillet 2012, consid. 5.1). Ainsi, les montants prévus par l’art. 10 al. 1 let. a LPC et par l’art. 3 LPCC sont présumés correspondre aux dépenses absolument essentielles afin de garantir une existence décente aux bénéficiaires de prestations complémentaires. Ils sont de plus de nature forfaitaire, ce qui implique que les bénéficiaires de prestations complémentaires n’ont pas à prouver les frais encourus chaque année pour ce poste. On doit dès lors ériger en présomption que les assurés dont les revenus ne couvrent pas les dépenses reconnues au sens de la loi et qui ne sont pas au bénéfice de prestations complémentaires ne peuvent couvrir leurs besoins vitaux et qu'ils doivent, cas échéant, puiser dans leur fortune à cette fin. La Cour de céans retiendra donc, au degré de vraisemblance prépondérante requis par la jurisprudence, qu'à défaut de prestations complémentaires, la recourante aurait prélevé dans ses deniers un montant correspondant auxdites prestations pour subvenir à ses besoins. La Cour de céans considère que soustraire de la fortune la part manquante des prestations complémentaires ne constitue pas un amortissement systématique mais ne fait que tenir compte des besoins vitaux bien réels des bénéficiaires.</w:t>
      </w:r>
    </w:p>
    <w:p>
      <w:r>
        <w:rPr>
          <w:b/>
        </w:rPr>
        <w:t>E. 9</w:t>
      </w:r>
    </w:p>
    <w:p>
      <w:r>
        <w:t>Eu égard à ce qui précède, il y a lieu de confirmer le principe dégagé par le Tribunal cantonal des assurances sociales dans son arrêt du 14 octobre 2010 (ATAS/1051/2010), selon lequel le calcul rétroactif des prestations complémentaires suite à un héritage doit prendre en considération la diminution de la fortune que le bénéficiaire aurait encourue afin de subvenir à ses besoins personnels calculés conformément à la législation en matière de prestations complémentaires fédérales et cantonales. La cause est renvoyée à l'intimé afin que celui-ci procède au nouveau calcul selon ces indications et rende une nouvelle décision. Ce faisant, le SPC se prononcera également sur les griefs invoqués par la recourante quant aux montants retenus à titre de fortune et de produit de celle-ci. La bénéficiaire est invitée à communiquer rapidement à l’intimé toutes les pièces réclamées par ce dernier, notamment celles relatives à la conversion du capital en rentes.</w:t>
      </w:r>
    </w:p>
    <w:p>
      <w:r>
        <w:t>A/1572/2012 - 7/7 - PAR CES MOTIFS, LA CHAMBRE DES ASSURANCES SOCIALES : Statuant A la forme : 1. Déclare le recours recevable. Au fond : 2. L’admet partiellement au sens des considérants. 3. Annule la décision du 23 avril 2012. 4. Renvoie la cause à l’intimé pour nouveaux calculs au sens des considérants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