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ATAS/140/2026 vom 19. Februar 2026</w:t>
      </w:r>
    </w:p>
    <w:p>
      <w:r>
        <w:t>GE Cour de justice, 2026-02-19, FR</w:t>
      </w:r>
    </w:p>
    <w:p>
      <w:r>
        <w:rPr>
          <w:b/>
        </w:rPr>
        <w:t xml:space="preserve">Quelle: </w:t>
      </w:r>
      <w:r>
        <w:t>https://mcp.opencaselaw.ch/entscheid/ge_gerichte_ATAS_140_2026</w:t>
      </w:r>
    </w:p>
    <w:p>
      <w:r>
        <w:t>FR: GE_GERICHTE ATAS/140/2026 du 19 février 2026</w:t>
      </w:r>
    </w:p>
    <w:p>
      <w:r>
        <w:t>IT: GE_GERICHTE ATAS/140/2026 del 19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w:t>
      </w:r>
    </w:p>
    <w:p>
      <w:r>
        <w:rPr>
          <w:b/>
        </w:rPr>
        <w:t>E. 1.4</w:t>
      </w:r>
    </w:p>
    <w:p>
      <w:r>
        <w:t>En l'occurrence, un éventuel droit à une rente d'invalidité naîtrait au plus tôt six mois après le dépôt de la demande du 15 août 2023 (cf. art. 29 al. 1 LAI), de sorte que les dispositions légales applicables seront citées dans leur nouvelle teneur. 2. L’objet du litige porte sur le droit du recourant à une rente d’invalidité, singulièrement sur le revenu sans invalidité à prendre en compte dans le calcul du degré d’invalidité.</w:t>
      </w:r>
    </w:p>
    <w:p>
      <w:r>
        <w:rPr>
          <w:b/>
        </w:rPr>
        <w:t>E. 3</w:t>
      </w:r>
    </w:p>
    <w:p>
      <w:r>
        <w:t>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(ATF 150 V 354 consid. 6.1 et les références). Pour la détermination du niveau de compétences, il y a lieu de rappeler que l'accent est avant tout mis sur le type de tâches que l'assuré est susceptible d'assumer en fonction de ses qualifications (ATF 150 V 354 consid. 6.4 et les références).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w:t>
      </w:r>
    </w:p>
    <w:p>
      <w:r>
        <w:t>A/3812/2025 - 9/12 -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t>A/3812/2025 - 6/12 -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3.2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w:t>
      </w:r>
    </w:p>
    <w:p>
      <w:r>
        <w:t>A/3812/2025 - 7/12 - susceptibles d'influencer le droit à la rente survenues jusqu'au moment où la décision est rendue doivent être prises en compte (ATF 143 V 295 consid. 2.3 et les références ; 129 V 222 ; 128 V 174).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Selon l’art. 26 al. 1 1re phr. RAI, le revenu sans invalidité (art. 16 LPGA) est déterminé en fonction du dernier revenu de l’activité lucrative effectivement réalisé avant la survenance de l’invalidité.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 Il y a lieu de se fonder, en règle générale, sur les salaires mensuels indiqués dans la table ESS TA1_tirage_skill_level, à la ligne « total secteur privé » (ATF 124 V 321 consid. 3b/aa). Depuis la 10e édition des ESS (ESS 2012), les emplois sont classés par l'Office fédéral de la statistique (OFS) par profession en fonction du type de travail qui est</w:t>
      </w:r>
    </w:p>
    <w:p>
      <w:r>
        <w:t>A/3812/2025 - 8/12 -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(cf. la Classification internationale type des professions, CITP-08, consultable sur le site web de l’Office fédéral de la statistique ; voir aussi le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En l’espèce, il convient d’examiner le calcul du degré d’invalidité du recourant. Le début de l’éventuel droit à la rente du recourant, respectivement le moment où il convient de procéder à la comparaison des revenus, doit être fixé à la date de la fin des mesures de réadaptation de l'assurance-invalidité (cf. art. 19 al. 1 LAA). En l’occurrence, les mesures d’ordre professionnel en faveur du recourant se sont terminées le 9 juin 2025. Par conséquent, la comparaison des revenus doit se faire au regard de l’année 2025, comme l’a d’ailleurs fait l’intimé. On rappellera qu’avant l’invalidité, le recourant travaillait dans une entreprise de construction et que l’intimé, pour tenir compte du fait que le dernier salaire réalisé par le recourant était inférieur à celui qu’il aurait pu prétendre dans le domaine de la construction, a opéré un parallélisme des revenus au moyen des ESS. Il a ainsi utilisé le salaire mensuel de CHF 5'825.- en se basant sur la table TA1_tirage_skill_level (secteur privé) de l'ESS 2022, pour un homme travaillant dans le secteur de la construction dans une activité de niveau de compétence 1. Le recourant conteste le niveau de compétence retenu par l’intimé, estimant qu’il aurait dû être tenu compte d’un niveau de compétence 3, voire 4. Il allègue</w:t>
      </w:r>
    </w:p>
    <w:p>
      <w:r>
        <w:t>A/3812/2025 - 10/12 - qu’avant son invalidité, les tâches qu’il effectuait auprès de son ancienne employeuse étaient bien plus vastes et complexes et nécessitaient un ensemble de connaissances techniques dans le domaine de la construction, puisqu’il réalisait tout type de travaux, notamment de maçonnerie, menuiserie, carrelage, toiture et étanchéité et s’occupait également de coordonner l’équipe et les différents autres intervenants sur les chantiers. En l’occurrence, quand bien même le recourant aurait, comme il l’allègue, effectué divers travaux et se serait occupé de la coordination sur les chantiers, on ne saurait retenir un niveau de compétence 3 pour la détermination de son revenu sans invalidité. Si, comme le fait valoir le recourant, l'accent est effectivement mis sur le type de tâches que l'assuré est susceptible d'assumer en fonction de ses qualifications et pas sur les qualifications en elles-mêmes, il n’en demeure pas moins que, selon la jurisprudence précitée (ATF 150 V 354 consid. 6.1), l'expérience professionnelle – même dans différentes activités – ne justifie pas à elle seule un classement supérieur au niveau de compétence 2, puisque dans la plupart des secteurs professionnels un diplôme ou du moins des formations et des perfectionnements (formalisés) sont exigés. Or, il ressort du dossier que le recourant ne disposait d’aucune certification ni diplôme et l’intéressé ne soutient pas le contraire. On relèvera en outre que dans la casuistique susmentionnée, un niveau de compétence 2 a été retenu dans le cas de plusieurs entrepreneurs, dans le domaine de la construction, pour certains au bénéfice de diplômes et responsables d’équipes. Dans ces conditions, les éléments avancés par le recourant ne permettent pas de retenir un niveau de compétence 3. Tout au plus, pourrait-on se poser la question d’un niveau de compétence 2. Toutefois, cette question peut demeurer ouverte, dès lors que, comme il sera démontré ci-après, malgré la prise en compte d’un niveau de compétence 2, le degré d’invalidité auquel on aboutit n’ouvre pas de droit à une rente. En effet, selon la table TA1_tirage_skill_level (secteur privé) de l'ESS 2022, le revenu mensuel correspondant à un homme exerçant dans le secteur de la construction (ligne 41-43), pour un niveau de compétence 2, s’élève à CHF 6'162.-, soit CHF 73'944.- par an. Ce salaire hypothétique se basant sur une durée hebdomadaire de travail de 40 heures, inférieure à la moyenne usuelle dans les entreprises, il sied de l'ajuster à la durée hebdomadaire normale de travail en 2022, laquelle est de 41.7 heures (tableau « Durée normale du travail dans les entreprises selon la division économique » de l'Office fédéral de la statistique), ce qui porte le salaire annuel à CHF 77'086.60 pour un plein temps (73'944 × 41.7 / 40). Après adaptation de ce montant à l'évolution des salaires nominaux pour les hommes en 2024 selon la table T39 publiée par l'Office fédéral de la statistique</w:t>
      </w:r>
    </w:p>
    <w:p>
      <w:r>
        <w:t>A/3812/2025 - 11/12 - (ISS ; en 2022 : 2305 et en 2024 : 2372), le revenu avec invalidité s'élève à CHF 79'327.30 (77'086.60 × 2372 / 2305). On précisera que lorsque la décision litigieuse a été rendue, les ISS publiés s’arrêtaient à l’année 2024, raison pour laquelle l’adaptation est faite sur la base de cette année. Dans la mesure où le parallélisme des revenus à comparer doit porter seulement sur la part qui excède le taux déterminant de 5% (cf. arrêt du Tribunal fédéral 8C_280/2022 du 1er mars 2023 consid. 7.1.2), le revenu statistique est pris en compte à hauteur de 95%, soit CHF 75'360.95. Compte tenu d'un revenu d’invalide – non contesté – de CHF 54'600.-, il en résulte un taux d'invalidité de 27.55% ([75'360.95 - 54'600] / 75'360.95 × 100), lequel est inférieur à 40% et n’ouvre ainsi pas de droit à une rente.</w:t>
      </w:r>
    </w:p>
    <w:p>
      <w:r>
        <w:rPr>
          <w:b/>
        </w:rPr>
        <w:t>E. 5.1</w:t>
      </w:r>
    </w:p>
    <w:p>
      <w:r>
        <w:t>Dans la mesure de ce qui précède, c’est à bon droit que l’intimé a nié le droit à une rente d’invalidité au terme des mesures de réadaptation. Par appréciation anticipée des preuves (ATF 122 II 464 consid. 4a), il est superflu de procéder à la comparution personnelle requise par le recourant qui s’est déjà utilement exprimé par écrit.</w:t>
      </w:r>
    </w:p>
    <w:p>
      <w:r>
        <w:rPr>
          <w:b/>
        </w:rPr>
        <w:t>E. 6.1</w:t>
      </w:r>
    </w:p>
    <w:p>
      <w:r>
        <w:t>Partant, le recours est rejeté.</w:t>
      </w:r>
    </w:p>
    <w:p>
      <w:r>
        <w:rPr>
          <w:b/>
        </w:rPr>
        <w:t>E. 6.2</w:t>
      </w:r>
    </w:p>
    <w:p>
      <w:r>
        <w:t>Vu l’issue du litige, le recourant sera condamné au paiement d'un émolument de CHF 200.- (art. 69 al.1bis LAI). Le recourant, qui succombe, n'a pas droit à des dépens (art. 61 let. g LPGA a contrario).</w:t>
      </w:r>
    </w:p>
    <w:p>
      <w:r>
        <w:t>A/3812/2025 - 12/12 -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