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ATAS/140/2024 vom 4. März 2024</w:t>
      </w:r>
    </w:p>
    <w:p>
      <w:r>
        <w:t>GE Cour de justice, 2024-03-04, FR</w:t>
      </w:r>
    </w:p>
    <w:p>
      <w:r>
        <w:rPr>
          <w:b/>
        </w:rPr>
        <w:t xml:space="preserve">Quelle: </w:t>
      </w:r>
      <w:r>
        <w:t>https://mcp.opencaselaw.ch/entscheid/ge_gerichte_ATAS_140_2024</w:t>
      </w:r>
    </w:p>
    <w:p>
      <w:r>
        <w:t>FR: GE_GERICHTE ATAS/140/2024 du 4 mars 2024</w:t>
      </w:r>
    </w:p>
    <w:p>
      <w:r>
        <w:t>IT: GE_GERICHTE ATAS/140/2024 del 4 marzo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le droit aux prestations complémentaires du recourant pour 2023, singulièrement sur la prise en compte de la valeur vénale de son bien immobilier sis en France au titre de fortune.</w:t>
      </w:r>
    </w:p>
    <w:p>
      <w:r>
        <w:rPr>
          <w:b/>
        </w:rPr>
        <w:t>E. 5.1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w:t>
      </w:r>
    </w:p>
    <w:p>
      <w:r>
        <w:t>A/3320/2023 - 4/7 - PC ni de prestations d’aide sociale (al. 1); 60 % du montant forfaitaire annuel pour l’assurance obligatoire des soins au sens de l’art. 10 al. 3 let. d LPC (let. b).</w:t>
      </w:r>
    </w:p>
    <w:p>
      <w:r>
        <w:rPr>
          <w:b/>
        </w:rPr>
        <w:t>E. 5.2</w:t>
      </w:r>
    </w:p>
    <w:p>
      <w:r>
        <w:t>En vertu de l'art. 11 al. 1 let d. LPC, les revenus déterminants comprennent notamment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ATF 127 V 248 consid. 4a ; arrêt du Tribunal fédéral 9C_831/2016 du 11 juillet 2017 consid. 5.1 ; arrêt du Tribunal fédéral 9C_333/2016 du 3 novembre 2016 consid. 4.3.1). Un élément de fortune doit ainsi être pris en compte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par exemple en demandant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L’origine d’un élément de fortune n’a pas d’importance (arrêt du Tribunal fédéral 9C_612/2012 du 28 novembre 2012 consid. 3.2 ; Michel VALTERIO, Commentaire de la Loi fédérale sur les prestations complémentaires à l’AVS et à l’AI, 2015, n. 43 ad. art. 11 LPC ; Erwin CARIGIET/Uwe KOCH, Ergänzungsleistungen zur AHV/IV, 2ème éd. 2008, p. 162).</w:t>
      </w:r>
    </w:p>
    <w:p>
      <w:r>
        <w:rPr>
          <w:b/>
        </w:rPr>
        <w:t>E. 5.3</w:t>
      </w:r>
    </w:p>
    <w:p>
      <w:r>
        <w:t>Par ailleurs, aux termes de l'art. 9a LPC – en vigueur depuis le 1er janvier 2021 –, les personnes dont la fortune nette est inférieure aux seuils suivants ont droit à</w:t>
      </w:r>
    </w:p>
    <w:p>
      <w:r>
        <w:t>A/3320/2023 - 5/7 - des PC: CHF 100'000.- pour les personnes seules (let. a); CHF 200'000.- pour les couples (let. b); CHF 50'000.- pour les enfants ayant droit à une rente d’orphelin ou donnant droit à une rente pour enfant de l’AVS ou de l’AI (let. c;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que le droit même à des PCF est désormais exclu pour les personnes assurées dont la fortune nette dépasse l'un de ces seuils fixés à l'art. 9a LPC.</w:t>
      </w:r>
    </w:p>
    <w:p>
      <w:r>
        <w:rPr>
          <w:b/>
        </w:rPr>
        <w:t>E. 5.4</w:t>
      </w:r>
    </w:p>
    <w:p>
      <w:r>
        <w:t>Concernant la fortune nette au sens des dispositions légales ci-dessus, s'appliquent notamment les règles qui suivent. L'art. 17 al. 1 de l'ordonnance sur les prestations complémentaires à l’assurance- vieillesse, survivants et invalidité du 15 janvier 1971 (OPC-AVS/AI - RS 831.301) – dans sa version en vigueur depuis le 1er janvier 2021 comme les autres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w:t>
      </w:r>
    </w:p>
    <w:p>
      <w:r>
        <w:rPr>
          <w:b/>
        </w:rPr>
        <w:t>E. 5.5</w:t>
      </w:r>
    </w:p>
    <w:p>
      <w:r>
        <w:t>Pour le surplus, en l'absence d'une révision législative de la LPCC à la suite de la réforme de la LPC entrée en vigueur le 1er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 (ATAS/521/2023 du 29 juin 2023, consid. 12).</w:t>
      </w:r>
    </w:p>
    <w:p>
      <w:r>
        <w:rPr>
          <w:b/>
        </w:rPr>
        <w:t>E. 6</w:t>
      </w:r>
    </w:p>
    <w:p>
      <w:r>
        <w:t>L'obligation générale de diminuer le dommage impose à celui qui requiert des prestations de prendre toutes les mesures qu'une personne raisonnable adopterait dans la même situation si elle ne pouvait attendre aucune indemnisation de tiers (ATF 133 V 504 consid. 4.2).</w:t>
      </w:r>
    </w:p>
    <w:p>
      <w:r>
        <w:rPr>
          <w:b/>
        </w:rPr>
        <w:t>E. 7</w:t>
      </w:r>
    </w:p>
    <w:p>
      <w:r>
        <w:t>En l’espèce, il est établi que le recourant possède, en copropriété, une maison en France. Selon ses propres dires, il s’agit d’une résidence secondaire. Il vit à Vernier chez un ami. S’agissant d’un bien immobilier ne lui servant pas d’habitation, il doit être pris en compte à sa valeur vénale, dans le calcul de son droit à des prestations complémentaires. Dans la mesure où ce bien est situé à l’étranger, le recourant a transmis à l’intimé une estimation officielle émanant d’une agence immobilière française et qu’il date de 2018. Il en ressort une valeur</w:t>
      </w:r>
    </w:p>
    <w:p>
      <w:r>
        <w:t>A/3320/2023 - 6/7 - vénale du bien d’Euros 430'290.-. Le recourant étant propriétaire de la moitié dudit bien, la valeur de sa part est d’Euros 215'290.-, soit CHF 212'412.66 au taux de change applicable au stade de la décision sur opposition. Si les parties s’accordent sur la valeur de la part de copropriété, elles s’opposent sur sa prise en compte en tant que fortune dans le cadre de l’examen du seuil prévu par l’art. 9a LPC (CHF 100'000.- pour une personne seule). Le recourant considère en effet qu’il convient d’exclure ce montant de CHF 212'412.66 de sa fortune dans la mesure où : d’une part, il occupe personnellement ce logement puisqu’il s’agit de sa résidence secondaire et, d’autre part, il ne pourrait de toute manière pas le réaliser librement l’autre copropriétaire s’opposant à la vente. Aucun de ces arguments ne saurait cependant être suivi. Le recourant ne conteste pas que son domicile et sa résidence principale se situent en Suisse (à défaut de quoi il ne pourrait d’ailleurs prétendre à des prestations complémentaires à Genève) et non à l’adresse du bien immobilier litigieux. En tant que besoin, le registre informatisé de l’office cantonal de la population et des migrations (OCPM) confirme que l’intéressé est bien domicilié à Vernier, de sorte que sa maison sise en France est effectivement, comme il l’indique, une résidence secondaire. C’est ainsi à juste titre qu’elle a été prise en compte par l’intimé à sa valeur vénale conformément à l’art. 17 al. 4 OPC-AVS/AI (cf. ATAS/72/2022 du 31 janvier 2022, consid. 9). Quant au fait que l’autre copropriétaire du bien immobilier s’opposerait de toute manière à sa vente, il n’est pas démontré, ni même rendu vraisemblable par un quelconque élément au dossier. Si tant est qu’il soit avéré, il ne serait de toute manière pas déterminant dans la mesure où, comme le relève l’intimé, il appartiendrait alors à l’intéressé, en vue notamment de son obligation de diminuer son dommage, d’entreprendre les démarches, extra-judiciaires ou judiciaires, en vue de la vente de son bien. Rien n’ayant été allégué en ce sens, ce grief est également écarté.</w:t>
      </w:r>
    </w:p>
    <w:p>
      <w:r>
        <w:rPr>
          <w:b/>
        </w:rPr>
        <w:t>E. 8</w:t>
      </w:r>
    </w:p>
    <w:p>
      <w:r>
        <w:t>Compte tenu de ce qui précède, le recours est rejeté.</w:t>
      </w:r>
    </w:p>
    <w:p>
      <w:r>
        <w:rPr>
          <w:b/>
        </w:rPr>
        <w:t>E. 9</w:t>
      </w:r>
    </w:p>
    <w:p>
      <w:r>
        <w:t>Pour le surplus, la procédure est gratuite (art. 61 let. fbis LPGA a contrario).</w:t>
      </w:r>
    </w:p>
    <w:p>
      <w:r>
        <w:t>A/3320/2023 - 7/7 -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