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ATAS/140/2019 vom 14. Februar 2019</w:t>
      </w:r>
    </w:p>
    <w:p>
      <w:r>
        <w:t>GE Cour de justice, 2019-02-14, FR</w:t>
      </w:r>
    </w:p>
    <w:p>
      <w:r>
        <w:rPr>
          <w:b/>
        </w:rPr>
        <w:t xml:space="preserve">Quelle: </w:t>
      </w:r>
      <w:r>
        <w:t>https://mcp.opencaselaw.ch/entscheid/ge_gerichte_ATAS_140_2019</w:t>
      </w:r>
    </w:p>
    <w:p>
      <w:r>
        <w:t>FR: GE_GERICHTE ATAS/140/2019 du 14 février 2019</w:t>
      </w:r>
    </w:p>
    <w:p>
      <w:r>
        <w:t>IT: GE_GERICHTE ATAS/140/2019 del 14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56ss LPGA).</w:t>
      </w:r>
    </w:p>
    <w:p>
      <w:r>
        <w:rPr>
          <w:b/>
        </w:rPr>
        <w:t>E. 3</w:t>
      </w:r>
    </w:p>
    <w:p>
      <w:r>
        <w:t>Le litige porte sur le bien-fondé de la compensation d’une partie des rentes dues au recourant par la créance invoquée par l'appelée en cause en sa qualité d’assurance complémentaire à l’assurance-accidents. En effet, contrairement à ce que semble affirmer la CGCC, les prestations versées au titre de l’assurance-accidents ne font pas l’objet de la compensation requise par l’appelée en cause, si l’on se réfère au calcul opéré par cette dernière le 20 décembre 2016. Il convient de souligner que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Partant, il n’appartient pas à la Chambre de céans de statuer sur l’étendue de la compensation dans le cadre de la présente procédure. En effet, les objections contre le montant de la créance invoquée en compensation ne peuvent être soulevées dans la procédure devant l’OAI, mais doivent être dirigées directement contre l'organisme qui a fait valoir la compensation (arrêt du Tribunal fédéral 9C_225/2014 du 10 juillet 2014 consid. 3.3.1)</w:t>
      </w:r>
    </w:p>
    <w:p>
      <w:r>
        <w:rPr>
          <w:b/>
        </w:rPr>
        <w:t>E. 4</w:t>
      </w:r>
    </w:p>
    <w:p>
      <w:r>
        <w:t>Conformément à l’art. 68 LPGA, sous réserve de surindemnisation, les indemnités journalières et les rentes de différentes assurances sociales sont cumulées.</w:t>
      </w:r>
    </w:p>
    <w:p>
      <w:r>
        <w:t>A/817/2018 - 5/10 - L’art. 69 al. 2 LPGA dispose qu’il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Selon l’alinéa 1er de cette disposition,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Aux termes de l’art. 69 al. 3 LPGA,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En cas de surindemnisation provenant du cumul d'indemnités journalières et d'une rente, ce sont les premières qui sont réduites jusqu'à concurrence de la limite de la surindemnisation (art. 69 al. 3 LPGA a contrario ; arrêt du Tribunal fédéral des assurances K 73/05 du 21 décembre 2005 consid. 2.2).</w:t>
      </w:r>
    </w:p>
    <w:p>
      <w:r>
        <w:rPr>
          <w:b/>
        </w:rPr>
        <w:t>E. 5</w:t>
      </w:r>
    </w:p>
    <w:p>
      <w:r>
        <w:t>En vertu de l’art. 22 LPGA,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(let. a) ; à l'assureur qui a pris provisoirement à sa charge des prestations (let. b) (al. 2).</w:t>
      </w:r>
    </w:p>
    <w:p>
      <w:r>
        <w:rPr>
          <w:b/>
        </w:rPr>
        <w:t>E. 6</w:t>
      </w:r>
    </w:p>
    <w:p>
      <w:r>
        <w:t>En vertu de l’art. 85bis du règlement sur l’assurance-invalidité (RAI - RS 831.201), les employeurs, les institutions de prévoyance professionnelle, les assurances- 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librement consenties, que l'assuré s'est engagé à rembourser, pour autant qu'il ait convenu par écrit que l'arriéré serait versé au tiers ayant effectué l'avance (let. a) ; versées contractuellement ou légalement, pour autant que le droit au remboursement, en cas de paiement d'une rente, puisse être déduit sans équivoque du contrat ou de la loi (let. b) (al. 2). Les arrérages de rente peuvent être versés à l'organisme ayant consenti une avance jusqu'à concurrence, au plus, du montant de celle-ci et pour la période à laquelle se rapportent les rentes (al. c).</w:t>
      </w:r>
    </w:p>
    <w:p>
      <w:r>
        <w:t>A/817/2018 - 6/10 - De jurisprudence constante, les prestations des assurances d’indemnités journalières conclues par un employeur en faveur de son personnel conformément à la loi sur le contrat d'assurance (LCA - RS 221.229.1) sont des prestations au sens de l'art. 85bis al. 2 RAI (arrêt du Tribunal fédéral 9C_926/2010 du 4 août 2011 consid. 4.2 et les références). Selon la pratique administrative, font partie des prestations contractuelles notamment celles qui sont versées sur la base des conditions générales d’une assurance collective pour des indemnités journalières, celles qui interviennent dans le cadre de l’assurance-accidents dans le domaine surobligatoire ou sur la base des statuts d’une caisse de pension (Directives concernant les rentes de l’assurance-vieillesse, survivants et invalidité fédérales [DR] dans leur état au 1er janvier 2013, ch. 10068).</w:t>
      </w:r>
    </w:p>
    <w:p>
      <w:r>
        <w:rPr>
          <w:b/>
        </w:rPr>
        <w:t>E. 7</w:t>
      </w:r>
    </w:p>
    <w:p>
      <w:r>
        <w:t>L'art. 85bis RAI n'est pas simplement destiné à protéger les intérêts publics en général. Il tend certes à favoriser une bonne coordination des assurances sociales, notamment par la prévention d'une surindemnisation pour une période pendant laquelle l'assuré reçoit rétroactivement une rente. Il vise cependant aussi à sauvegarder les intérêts de tiers qui ont versé des avances à l'assuré en attendant qu'il soit statué sur ses droits (arrêt du Tribunal fédéral 9C_926/2010 du 4 août 2011 consid. 3.2). Les avances librement consenties selon l'art. 85bis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w:t>
      </w:r>
    </w:p>
    <w:p>
      <w:r>
        <w:rPr>
          <w:b/>
        </w:rPr>
        <w:t>E. 8</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w:t>
      </w:r>
    </w:p>
    <w:p>
      <w:r>
        <w:t>A/817/2018 - 7/10 -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9</w:t>
      </w:r>
    </w:p>
    <w:p>
      <w:r>
        <w:t>L’édition 2006 des Conditions générales de contrat (CGC) régissant l’assurance- accidents en complément à la LAA prévoient notamment à leur art. 8 al. 2 que l’indemnité journalière est réduite dans la mesure où, ajoutée aux prestations des assurances sociales, elle excède le gain dont on peut présumer que l’assuré se trouve privé. Le gain dont on peut présumer que l’assuré se trouve privé correspond à celui qu’il pourrait réaliser s’il n’avait pas subi le dommage.</w:t>
      </w:r>
    </w:p>
    <w:p>
      <w:r>
        <w:rPr>
          <w:b/>
        </w:rPr>
        <w:t>E. 10</w:t>
      </w:r>
    </w:p>
    <w:p>
      <w:r>
        <w:t>En l’espèce, les indemnités perçues par le recourant au titre de l’assurance- accidents complémentaire ont été versées en vertu d’une police régie par la LCA (cf. art. 29 CGC). Partant, la compensation avec des rentes de l’assurance-invalidité obéit aux conditions prévues par l’art. 85bis RAI. Il est constant que le recourant n’a pas signé le formulaire de compensation que lui a soumis l’appelée en cause. Certes, l'utilisation du formulaire spécial prévu à l'art. 85bis al. 1 RAI est une prescription d'ordre (ATF 131 V 242 consid. 6.2). Ainsi, le tiers qui veut obtenir directement un paiement de prestations rétroactives de l’OAI peut établir l'accord du bénéficiaire de celles-ci par un autre moyen que le formulaire ad hoc (arrêt du Tribunal fédéral 9C_731/2010 du 20 juin 2011 consid. 4.4). L’appelée en cause n’allègue cependant pas que tel serait le cas, et elle ne produit aucune autre pièce dont on pourrait déduire l’accord du recourant. Il n’est du reste pas inutile de relever que la demande de compensation adressée par</w:t>
      </w:r>
    </w:p>
    <w:p>
      <w:r>
        <w:t>A/817/2018 - 8/10 - l’appelée en cause à la CGCC ne figure pas parmi les pièces produites par ces dernières et par l’intimé. A défaut d’accord du recourant, il convient de déterminer si la norme contractuelle invoquée par l’appelée en cause, soit l’art. 8 al. 2 CGA, lui confère un droit au remboursement par l’intimé. On peut en préambule rappeler que le Tribunal fédéral a nié l’existence d’un droit sans équivoque au remboursement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 En l’espèce, à l’aune de ces arrêts, force est de constater que la base contractuelle invoquée par l’appelée en cause à l’appui de sa prétention ne suffit nullement à lui conférer un droit sans équivoque à se faire rembourser directement par l’intimé les avances versées au recourant. En effet, l’art. 8 al. 2 CGC prévoit uniquement la réduction des indemnités journalières en cas de concours de prestations conduisant à une surindemnisation, du reste sans même expressément prévoir le remboursement des prestations déjà versées par l’assuré. A fortiori, on ne saurait en inférer un droit au versement des rentes d’invalidité directement à l’appelée en cause par l’intimé. Partant, la décision de ce dernier doit être annulée en tant qu’elle admet la demande de compensation de l’appelée en cause.</w:t>
      </w:r>
    </w:p>
    <w:p>
      <w:r>
        <w:t>A/817/2018 - 9/10 -</w:t>
      </w:r>
    </w:p>
    <w:p>
      <w:r>
        <w:rPr>
          <w:b/>
        </w:rPr>
        <w:t>E. 11</w:t>
      </w:r>
    </w:p>
    <w:p>
      <w:r>
        <w:t>Eu égard aux considérations qui précèdent, le recours est admis. Le recourant a droit à des dépens, qui seront fixés à CHF 2'000.- et seront supportés solidairement par l’intimé et l’appelée en cause (art. 61 let. g LPGA). En effet, cette dernière doit être considérée comme partie à la procédure et peut ainsi se voir imposer des dépens (cf. par analogie ATF 127 V 107 consid. 6b). Le litige ne portant pas sur l’octroi de prestations, la procédure est gratuite (art. 69 al. 1bis LAI a contrario).</w:t>
      </w:r>
    </w:p>
    <w:p>
      <w:r>
        <w:t>A/817/2018 - 10/10 -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