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ATAS/140/2017 vom 22. Februar 2017</w:t>
      </w:r>
    </w:p>
    <w:p>
      <w:r>
        <w:t>GE Cour de justice, 2017-02-22, FR</w:t>
      </w:r>
    </w:p>
    <w:p>
      <w:r>
        <w:rPr>
          <w:b/>
        </w:rPr>
        <w:t xml:space="preserve">Quelle: </w:t>
      </w:r>
      <w:r>
        <w:t>https://mcp.opencaselaw.ch/entscheid/ge_gerichte_ATAS_140_2017</w:t>
      </w:r>
    </w:p>
    <w:p>
      <w:r>
        <w:t>FR: GE_GERICHTE ATAS/140/2017 du 22 février 2017</w:t>
      </w:r>
    </w:p>
    <w:p>
      <w:r>
        <w:t>IT: GE_GERICHTE ATAS/140/2017 del 22 febbraio 2017</w:t>
      </w:r>
    </w:p>
    <w:p>
      <w:pPr>
        <w:pStyle w:val="Heading2"/>
      </w:pPr>
      <w:r>
        <w:t>Volltext</w:t>
      </w:r>
    </w:p>
    <w:p>
      <w:r>
        <w:t>Siégeant : Juliana BALDÉ,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A/4063/2016 ATAS/140/2017 COUR DE JUSTICE Chambre des assurances sociales Arrêt du 22 février 2017 4ème Chambre</w:t>
      </w:r>
    </w:p>
    <w:p>
      <w:r>
        <w:t>En la cause Madame A______, domiciliée à GENÈVE, comparant avec élection de domicile en l'étude de Maître Elisabeth GABUS- THORENS</w:t>
      </w:r>
    </w:p>
    <w:p>
      <w:r>
        <w:t>recourante</w:t>
      </w:r>
    </w:p>
    <w:p>
      <w:r>
        <w:t>contre BÂLOISE ASSURANCE SA, sise Aeschengraben 21, BÂLE, comparant avec élection de domicile en l'étude de Maître Christian GROSJEAN</w:t>
      </w:r>
    </w:p>
    <w:p>
      <w:r>
        <w:t>intimée</w:t>
      </w:r>
    </w:p>
    <w:p>
      <w:r>
        <w:t>A/4063/2016 - 2/3 -</w:t>
      </w:r>
    </w:p>
    <w:p>
      <w:r>
        <w:t>A/4063/2016 - 3/3 - Vu la décision sur opposition du 24 octobre 2016 de Bâloise assurances SA ; Vu le recours interjeté le 28 novembre 2016 par Madame A______ (ci-après la recourante), par l’intermédiaire de son conseil ; Vu la réponse du 27 janvier 2017 ; Attendu que par courrier du 13 février 2017, la recourante a indiqué qu’elle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