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ATAS/140/2011 vom 10. Februar 2011</w:t>
      </w:r>
    </w:p>
    <w:p>
      <w:r>
        <w:t>GE Cour de justice, 2011-02-10, FR</w:t>
      </w:r>
    </w:p>
    <w:p>
      <w:r>
        <w:rPr>
          <w:b/>
        </w:rPr>
        <w:t xml:space="preserve">Quelle: </w:t>
      </w:r>
      <w:r>
        <w:t>https://mcp.opencaselaw.ch/entscheid/ge_gerichte_ATAS_140_2011</w:t>
      </w:r>
    </w:p>
    <w:p>
      <w:r>
        <w:t>FR: GE_GERICHTE ATAS/140/2011 du 10 février 2011</w:t>
      </w:r>
    </w:p>
    <w:p>
      <w:r>
        <w:t>IT: GE_GERICHTE ATAS/140/2011 del 10 febbraio 2011</w:t>
      </w:r>
    </w:p>
    <w:p>
      <w:pPr>
        <w:pStyle w:val="Heading2"/>
      </w:pPr>
      <w:r>
        <w:t>Erwägungen</w:t>
      </w:r>
    </w:p>
    <w:p>
      <w:r>
        <w:rPr>
          <w:b/>
        </w:rPr>
        <w:t>E. 1</w:t>
      </w:r>
    </w:p>
    <w:p>
      <w:r>
        <w:t>Jusqu’au 31 décembre 2010, conformément à l'art. 56 V al. 1 let. a ch. 2 de la loi sur l'organisation judiciaire, du 22 novembre 1941 (aLOJ; RS E 2 05), le Tribunal cantonal des assurances sociales connaissait, en instance unique, des contestations prévues à l'art. 56 de la loi fédérale sur la partie générale du droit des assurances</w:t>
      </w:r>
    </w:p>
    <w:p>
      <w:r>
        <w:t>A/2196/2010 - 9/15 -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les décisions litigieuses datant des 1er et 9 juin 2010 sont postérieures à l'entrée en vigueur de la LPGA ainsi qu'à l'entrée en vigueur, le 1er janvier 2004, des modifications de la loi fédérale sur l'assurance-invalidité du 21 mars 2003 (4ème révision) et, le 1er janvier 2008, des modifications de la loi fédérale sur l’assurance- invalidité du 6 octobre 2006 (5ème révision), cependant, les faits pertinents remontent au mois de juillet 2004. Partant, du point de vue matériel, le droit éventuel à une rente d'invalidité doit être examiné, pour la période jusqu’au 31 décembre 2007, au regard des dispositions de la LPGA et de celles de la LAI en vigueur jusqu’à cette date, et dès le 1er janvier 2008, en fonction des modifications de la LAI consécutives à la 5ème révision, dans la mesure de leur pertinence (ATF 130 V 445 et les références; voir également ATF 130 V 329). En ce qui concerne en revanche la procédure, et à défaut de règles transitoires contraires, le nouveau droit s'applique sans réserve dès le jour de son entrée en vigueur (ATF 117 V 93 consid. 6b, 112 V 360 consid. 4a; RAMA 1998 KV 37 p. 316 consid. 3b).</w:t>
      </w:r>
    </w:p>
    <w:p>
      <w:r>
        <w:rPr>
          <w:b/>
        </w:rPr>
        <w:t>E. 3</w:t>
      </w:r>
    </w:p>
    <w:p>
      <w:r>
        <w:t>Le délai de recours est de 30 jours (art. 60 al. 1 LPGA). Les décisions des 1er et 9 juin 2010 ont été reçues par la recourante en date du 2 juin 2010, respectivement du 10 juin 2010, de sorte que le délai de recours a commencé à courir le lendemain de leur réception (art. 38 al. 1 et 60 al. 2 LPGA). Partant, les recours datés du 22 juin 2010 ont été formés en temps utile. Interjetés dans les formes et délai prévus par la loi, ils sont ainsi recevables (art. 56 et ss LPGA).</w:t>
      </w:r>
    </w:p>
    <w:p>
      <w:r>
        <w:t>A/2196/2010 - 10/15 - On relèvera encore que la qualité pour recourir de l’institution de prévoyance n’est pas contestable au regard de l’art. 49 al. 4 LPGA et de la jurisprudence prévoyant que l'assureur LPP dispose d'un droit de recours propre dans les procédures régies par la LAI (ATF 129 V 73 consid. 4.2.2). En effet, l’art. 49 al. 4 LPGA dispose que l’assureur qui rend une décision touchant l'obligation d'un autre assureur d'allouer des prestations est tenu de lui en communiquer un exemplaire (1ère phrase). Cet autre assureur dispose des mêmes voies de droit que l'assuré (2ème phrase).</w:t>
      </w:r>
    </w:p>
    <w:p>
      <w:r>
        <w:rPr>
          <w:b/>
        </w:rPr>
        <w:t>E. 4</w:t>
      </w:r>
    </w:p>
    <w:p>
      <w:r>
        <w:t>Est litigieuse en l’espèce la question de savoir si c’est à juste titre que l’intimé a considéré que les atteintes dont souffre l’appelée en cause ont entrainé une totale incapacité de travail dès le mois de juillet 2003, lui ouvrant droit à une rente entière de l’assurance-invalidité à l'issue du délai de carence.</w:t>
      </w:r>
    </w:p>
    <w:p>
      <w:r>
        <w:rPr>
          <w:b/>
        </w:rPr>
        <w:t>E. 5</w:t>
      </w:r>
    </w:p>
    <w:p>
      <w:r>
        <w:t>L’art. 28 al. 1 LAI en vigueur du 1er janvier 2004 au 31 décembre 2007 (art. 28 al. 2 LAI en vigueur dès le 1er janvier 2008) dispose que l’assuré a droit à une rente entière s’il est invalide à 70% au moins, à trois quarts de rente s’il est invalide à 60% au moins, à une demi-rente s’il est invalide à 50% au moins ou à un quart de rente s’il est invalide à 40% au moins. Selon l’art. 29 al. 1 let. b LAI en vigueur jusqu’au 31 décembre 2007, le droit à la rente au sens de l’art. 28 prend naissance au plus tôt à la date dès laquelle l’assuré a présenté, en moyenne, une incapacité de travail de 40 % au moins pendant une année sans interruption notable (art. 6 LPGA).</w:t>
      </w:r>
    </w:p>
    <w:p>
      <w:r>
        <w:rPr>
          <w:b/>
        </w:rPr>
        <w:t>E. 6</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w:t>
      </w:r>
    </w:p>
    <w:p>
      <w:r>
        <w:t>A/2196/2010 - 11/15 -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Par ailleurs,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 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w:t>
      </w:r>
    </w:p>
    <w:p>
      <w:r>
        <w:t>A/2196/2010 - 12/15 - (ATF 125 V 353 ss consid. 3b/ee; ATFA non publié du 13 mars 2000, I 592/99, consid. b/ee).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l’espèce, se fondant essentiellement sur les rapports d’expertise du Dr B__________, l’intimé a reconnu à l’appelée en cause une totale incapacité de travail dès le 28 juillet 2003, ce que la recourante conteste en alléguant que l'assurée ne souffre tout au plus que d'un déconditionnement réversible et non invalidant.</w:t>
      </w:r>
    </w:p>
    <w:p>
      <w:r>
        <w:rPr>
          <w:b/>
        </w:rPr>
        <w:t>E. 10</w:t>
      </w:r>
    </w:p>
    <w:p>
      <w:r>
        <w:t>a) Sur le plan somatique, le Dr B__________ a fait état d'un status après opération de Bentall pour insuffisance aortique sévère sur bicuspidie et anévrisme de l’aorte ascendante, d'un épanchement péricardique post-opératoire tardif avec tamponnade, d'une tachycardie supraventriculaire paroxystique, de douleurs thoraciques sternales et scapulo-cervicales post-opératoires, d’une hyperthyroïdie insuffisamment freinée et d'un déconditionnement cardio-pulmonaire et musculaire important. L’expert a notamment expliqué, durant l’année 2007, que l'assurée avait souffert de tachycardie supraventriculaire d’une fréquence de 140 battements par minute, pouvant occasionner une gêne notoire. L'expert a également pu constater personnellement les conséquences de tels épisodes. Il a relevé que l'assurée avait alors eu de la difficulté à se mobiliser et à marcher vers une pièce voisine, qu'elle avait même chuté. Si l'expert a admis l'éventualité d'une activité professionnelle, il l'a expressément conditionnée à la maîtrise les troubles rythmiques, dont il a souligné qu'elle n'avait pas été acquise. L'expert a par ailleurs insisté sur l’incapacité de l’assurée à se</w:t>
      </w:r>
    </w:p>
    <w:p>
      <w:r>
        <w:t>A/2196/2010 - 13/15 - mobiliser, même pour les activités de la vie courante, sur l’importance de l’état anxio-dépressif développé suite à cette baisse de qualité de vie et sur ses douleurs chroniques. En décembre 2009, le Dr B__________ a ajouté que l'assuré avait encore souffert d'arythmies supraventriculaires récidivantes jusqu'en mai 2009, date à laquelle elle avait subi la thermo-ablation d’une tachycardie nodale par réentrée typique. Malgré tout, l'examen clinique et l’électrocardiogramme, lui ont permis de constater de fréquentes extrasystoles ventriculaires isolées et polymorphes, ainsi qu’un doublet et un triplet lors de l’effort, et une tachycardie de repos s’accélérant rapidement dès le début de l’effort. L'expert a également décrit en détails l'effondrement de la capacité fonctionnelle de l'assurée à l'effort et a finalement confirmé ses conclusions précédentes, à savoir une capacité de 0% quelle que soit l'activité envisagée. b) La Cour de céans constate que le Dr B__________ a établi ses rapports de manière neutre, après entretiens avec l’assurée et sur la base d’examens cliniques et cardiologiques complets. L’expert s’est également fondé sur le dossier médical de l’intéressée, sur une anamnèse professionnelle et sociale et a pris en considération les plaintes formulées par l'assurée. Les diagnostics ont été précisément posés, les atteintes et leurs conséquences clairement exposées et illustrées. Ces rapports permettent de comprendre que les troubles cardiologiques dont souffre l'assurée sont d’une sévérité telle qu'ils entraînent une incapacité de se mobiliser pour effectuer le moindre effort au vu de l’existence d’une arythmie (en 2007), d'une part, d'un effondrement de la capacité fonctionnelle et de l’existence d’extrasystoles ventriculaires et polymorphes (en 2009), d'autre part. Attendu que même les activités de la vie quotidienne ne peuvent plus être assumées, on comprend les raisons pour lesquelles l'expert conclut à une totale incapacité de travail. Partant, la Cour de céans est convaincue par les conclusions motivées du Dr B__________ dont elle considère que les rapports doivent se voir reconnaitre pleine valeur probante au sens de la jurisprudence, d'autant que la recourante n'amène aucun élément médical susceptible de remettre en cause cette valeur probante. La recourante semble perdre de vue que le déconditionnement complet cardio- vasculaire est la conséquence des importants troubles cardiologiques dont souffre l’assurée depuis l’année 2003 et non du fait qu’elle serait volontairement restée inactive. En outre, il convient de rappeler que le Dr B__________ a exclu toute possibilité de réadaptation. Pour le surplus, il sied encore de relever que les autres rapports médicaux versés au dossier ne font que confirmer les conclusions du Dr B__________.</w:t>
      </w:r>
    </w:p>
    <w:p>
      <w:r>
        <w:t>A/2196/2010 - 14/15 - Ainsi, la Dresse E__________ a rappelé, le 15 juillet 2010, l’apparition d'extrasystoles ventriculaires isolées et polymorphes à l’effort et souligné qu’un réentrainement - tel que préconisé par la recourante pour surmonter le déconditionnement - pourrait entraîner des salves de tachycardie ventriculaire, une syncope ou encore une mort subite. Le Dr A__________ a quant à lui conclu, en date du 29 juillet 2006, à une totale incapacité de travail en raison des limitations majeures liées à la cardiopathie. Au vu de tout ce qui précède, il y a lieu de confirmer que la capacité de travail de l’assurée doit être considérée comme nulle quelle que soit l'activité envisagée et ce, dès la fin de mois de juillet 2003, en raison de ses problèmes cardiologiques.</w:t>
      </w:r>
    </w:p>
    <w:p>
      <w:r>
        <w:rPr>
          <w:b/>
        </w:rPr>
        <w:t>E. 11</w:t>
      </w:r>
    </w:p>
    <w:p>
      <w:r>
        <w:t>Pour le surplus, l’argument de la recourante quant à la violation de la maxime inquisitoire par l’intimé est dénué de fondement. Ainsi qu'on l'a vu supra, les rapports du Dr B__________ doivent se voir reconnaitre pleine valeur probante et permettent de tirer des conclusions claires sur l’état de santé de l’appelée en cause et sur ses conséquences sur la capacité de travail. L’intimé n’avait ainsi nullement besoin d’instruire plus avant l’état de santé de l’appelée en cause. Par ailleurs, dans la mesure où les atteintes somatiques ne permettent pas à l’appelée en cause d’exercer une activité lucrative, il est superflu d’examiner ses éventuels problèmes psychiatriques.</w:t>
      </w:r>
    </w:p>
    <w:p>
      <w:r>
        <w:rPr>
          <w:b/>
        </w:rPr>
        <w:t>E. 12</w:t>
      </w:r>
    </w:p>
    <w:p>
      <w:r>
        <w:t>En conclusion, l’appelée en cause présentant une totale incapacité de travail dans toutes les activités lucratives depuis le mois de juillet 2003, son degré d’invalidité se confond avec celui de son incapacité de travail (cf. Arrêt du Tribunal fédéral I 43/05 du 30 juin 2006, consid. 5.2). C’est ainsi à juste titre que l’intimé lui a alloué une rente entière d’invalidité dès le mois de juillet 2004 (art. 29 al. 1 let. b LAI). Aussi le recours doit-il être rejeté. Pour le surplus, un émolument de 1'000 fr. est mis à la charge de la recourante, qui succombe (art. 69 al. 1bis LAI).</w:t>
      </w:r>
    </w:p>
    <w:p>
      <w:r>
        <w:t>A/2196/2010 - 15/15 -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