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ATAS/1407/2008 vom 19. Januar 2004</w:t>
      </w:r>
    </w:p>
    <w:p>
      <w:r>
        <w:t>GE Cour de justice, 2004-01-19, FR</w:t>
      </w:r>
    </w:p>
    <w:p>
      <w:r>
        <w:rPr>
          <w:b/>
        </w:rPr>
        <w:t xml:space="preserve">Quelle: </w:t>
      </w:r>
      <w:r>
        <w:t>https://mcp.opencaselaw.ch/entscheid/ge_gerichte_ATAS_1407_2008</w:t>
      </w:r>
    </w:p>
    <w:p>
      <w:r>
        <w:t>FR: GE_GERICHTE ATAS/1407/2008 du 19 janvier 2004</w:t>
      </w:r>
    </w:p>
    <w:p>
      <w:r>
        <w:t>IT: GE_GERICHTE ATAS/1407/2008 del 19 gennaio 2004</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c'est à juste titre que l'intimé a rejeté la nouvelle demande de prestations déposée par l'assuré le 2 février 2005. Il convient dès lors d'examiner si l'état de santé du recourant s'est aggravé depuis que l'OCAI lui a une première fois nié le droit à toute prestation, c'est-à-dire depuis le 2 avril 2004, date de la décision initiale, et, dans l'affirmative, si cette aggravation confère au recourant le droit à des prestations de l'assurance-invalidité, plus particulièrement à la demi-rente qu'il réclame.</w:t>
      </w:r>
    </w:p>
    <w:p>
      <w:r>
        <w:rPr>
          <w:b/>
        </w:rPr>
        <w:t>E. 5</w:t>
      </w:r>
    </w:p>
    <w:p>
      <w:r>
        <w:t>a) Lorsque la rente ou l'allocation pour impotent a été refusée parce que le degré d'invalidité était insuffisant ou parce qu'il n'y avait pas d'impotence, la nouvelle</w:t>
      </w:r>
    </w:p>
    <w:p>
      <w:r>
        <w:t>A/3918/2007 - 10/15 -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w:t>
      </w:r>
    </w:p>
    <w:p>
      <w:r>
        <w:t>A/3918/2007 - 11/15 -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7</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w:t>
      </w:r>
    </w:p>
    <w:p>
      <w:r>
        <w:t>A/3918/2007 - 12/15 - 1988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rPr>
          <w:b/>
        </w:rPr>
        <w:t>E. 8</w:t>
      </w:r>
    </w:p>
    <w:p>
      <w:r>
        <w:t>En l'espèce, l'intimé est entré en matière sur la nouvelle demande de l'assuré puisqu'il a rendu une décision de refus de prestations plutôt qu'une décision de refus d'entrer en matière. L'OCAI s'est basé essentiellement sur l'avis du Dr F__________, du SMR. Au moment de la décision initiale de l'OCAI (le 19 janvier 2004), les diagnostics posés étaient les suivants : fibromyalgie (cf. rapport du Dr A__________ du 5 mai 2003), syndrome vertébral douloureux chronique dans le cadre d'un trouble de la statique, très discrets troubles dégénératifs interapophysaires postérieurs L3-L4 à droite et protrusion L5-S1 médiane et paramédiane gauche, syndrome cervico- brachial plus marqué à gauche dans le cadre de troubles de la statique et très discrète spondylose postérieure C4 à C6 et dysbalance musculaire, périarthrite scapulohumérale bilatérale dans le cadre d'un début de conflit sous-acromial bilatéral plus marqué à gauche avec tendinopathie dégénérative centrale sans déchirure et lésion dégénérative intra-méniscale stade I à II et discrète chondropathie fémoropatellaire à gauche et status post-excision d'une excroissance pied gauche en 1995 (cf. rapport du SMR du 23 septembre 2003). Malgré ces atteintes, l'OCAI avait jugé que l'on pouvait attendre de l'assuré qu'il travaille à un taux plus élevé que 50 %, à condition que ses limitations fonctionnelles soient respectées (éviter les positions statiques debout ou assis dépassant deux heures, le travail prolongé en flexion-torsion du tronc et en porte-à- faux, le fait de porter plus de 20 kg occasionnellement et 5 kg régulièrement, le travail les bras au-dessus de l'horizontale). L'OCAI a considéré par ailleurs que le travail exercé par l'assuré au Musée répondait à ces critères et qu'il pourrait donc l'exercer à plein temps, de sorte qu'il ne subissait aucune perte de gain. Le recourant motive sa nouvelle demande par une aggravation de son état de santé, sur le plan psychique, surtout. Sur le plan physique, on ne peut en effet considérer qu'il y a eu aggravation. Certes, le Dr D__________ a produit un compte-rendu de la Dresse E__________, radiologue, daté du 10 octobre 2005, faisant état d'une ostéopénie un peu plus importante au niveau du squelette axial, avec une perte de 21 % de la densité osseuse et de 16 % au niveau du squelette périphérique. Cependant, il ressort de la lecture du rapport du service des maladies osseuses des HUG qu'il n'existe aucun argument clinique, radiologique ou biologique permettant de conclure à fragilité osseuse.</w:t>
      </w:r>
    </w:p>
    <w:p>
      <w:r>
        <w:t>A/3918/2007 - 13/15 - Certes, le Dr A__________, dans un rapport du 25 mai 2007, a rappelé le diagnostic de syndrome douloureux chronique avec arthrose et a fait état d'une aggravation des douleurs. Dans la mesure où il a émis l'avis que l'activité pratiquée n'est plus exigible qu'à mi-temps, on peut en conclure qu'il y a eu aggravation. On ne peut cependant encore conclure que cette aggravation se traduit par l'ouverture d'un droit à la rente. En effet, dans la mesure où le recourant est atteint d'un syndrome douloureux, il faut se référer à la jurisprudence applicable en la matière, qu'il convient de rappeler ici.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w:t>
      </w:r>
    </w:p>
    <w:p>
      <w:r>
        <w:t>A/3918/2007 - 14/15 - devant pas faire l'objet d'un diagnostic séparé (ATF 130 V 356 consid. 3.3.1 in fine; MEYER/BLASER, op. cit. p. 81, note 135). En l'espèce, la question de savoir si le diagnostic de trouble dépressif récurrent, épisode dépressif d'intensité moyenne peut ou non être posé, ce que conteste même l'intimé, peut rester ouverte, dans la mesure où force est de constater que même si ce diagnostic est fondé, le trouble somatoforme dont est atteint le recourant ne peut se voir reconnaître un caractère invalidant eu égard à la jurisprudence rappelée supra. En effet, il ressort des explications du Dr D__________ que l'état dépressif récurent est apparu en 2004, soit postérieurement aux douleurs, de sorte qu'il ne constitue en principe pas une comorbidité suffisamment grave et durable pour admettre le caractère invalidant du trouble somatoforme. D'autant que le médecin a indiqué qu'il avait varié de léger à moyen. En conséquence, l’existence d’une comorbidité psychiatrique au trouble douloureux, au sens voulu par la jurisprudence constante n’est pas avérée en l'espèce dans la mesure où les éléments au dossier ne permettent pas de considérer que la problématique psychique serait intervenue avant la symptomatologie douloureuse. La reconnaissance du caractère invalidant d’une fibromyalgie (ou trouble somatoforme douloureux) peut cependant reposer sur la réalisation d’autres critères qui doivent revêtir une intensité et une constance certaines. En premier lieu, on trouve les affections corporelles chroniques. Il doit s’agir d’affections fondées sur un substrat organique et non de douleurs (subjectivement ressenties par la personne atteinte dans sa santé). Dans le cas d'espèce, elles sont présentes sous la forme de troubles dégénératifs de la colonne, protrusion, spondylose et périarthrite scapulohumérale bilatérale notamment. Ce critère est donc rempli mais il n’est pas suffisant à lui seul pour admettre une invalidité (au sens de la LAI). Le second facteur à examiner est celui d'un processus maladif s'étendant sur plusieurs années sans rémission durable. Il est patent, dans le présent cas, que le recourante souffre depuis plusieurs années. Cependant, on n'observe aucune perte d’intégration sociale et l’état psychique de l’assuré n’est pas cristallisé puisqu'il est susceptible de fluctuations relativement importantes. En définitive, le Tribunal de céans se doit de confirmer l’appréciation faite par les organes de l’assurance-invalidité, à savoir l’absence de pathologie (somatique ou psychiatrique) invalidante. Il suit de ce qui précède que le recours est mal fondé, de sorte qu’il sera rejeté.</w:t>
      </w:r>
    </w:p>
    <w:p>
      <w:r>
        <w:t>A/3918/2007 - 15/15 -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