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ATAS/1405/2012 vom 21. November 2012</w:t>
      </w:r>
    </w:p>
    <w:p>
      <w:r>
        <w:t>GE Cour de justice, 2012-11-21, FR</w:t>
      </w:r>
    </w:p>
    <w:p>
      <w:r>
        <w:rPr>
          <w:b/>
        </w:rPr>
        <w:t xml:space="preserve">Quelle: </w:t>
      </w:r>
      <w:r>
        <w:t>https://mcp.opencaselaw.ch/entscheid/ge_gerichte_ATAS_1405_2012</w:t>
      </w:r>
    </w:p>
    <w:p>
      <w:r>
        <w:t>FR: GE_GERICHTE ATAS/1405/2012 du 21 novembre 2012</w:t>
      </w:r>
    </w:p>
    <w:p>
      <w:r>
        <w:t>IT: GE_GERICHTE ATAS/1405/2012 del 21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LPGA).</w:t>
      </w:r>
    </w:p>
    <w:p>
      <w:r>
        <w:rPr>
          <w:b/>
        </w:rPr>
        <w:t>E. 3</w:t>
      </w:r>
    </w:p>
    <w:p>
      <w:r>
        <w:t>Est litigieuse en l'occurrence la question de savoir si la recourante présente, au sens de la loi et de la jurisprudence, un taux d'invalidité lui ouvrant le droit à une rente.</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Quant au point de départ temporel pour l’examen des modifications du degré d’invalidité lors d'une révision de la rente, le Tribunal fédéral des assurances a jugé, en changeant sa jurisprudence antérieure, qu’il convient de comparer l’état de santé avec celui tel qu'il se présentait lors de la dernière décision entrée en force, pour autant que celle-ci repose sur un examen matériel du droit à la rente avec une constatation des faits pertinents, une appréciation des preuves et une comparaison des revenus (ATF 133 V 108 page 110 ss consid. 5).</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w:t>
      </w:r>
    </w:p>
    <w:p>
      <w:r>
        <w:t>A/393/2012 - 18/26 -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w:t>
      </w:r>
    </w:p>
    <w:p>
      <w:r>
        <w:t>A/393/2012 - 19/26 -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ATFA non publié 9C_267/2009). Notre Haute Cour a cependant également jugé que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Le recours sera ainsi rejeté.</w:t>
      </w:r>
    </w:p>
    <w:p>
      <w:r>
        <w:rPr>
          <w:b/>
        </w:rPr>
        <w:t>E. 13</w:t>
      </w:r>
    </w:p>
    <w:p>
      <w:r>
        <w:t>Dans la mesure où la recourante succombe, elle sera condamnée à un émolument de justice de 200 fr.</w:t>
      </w:r>
    </w:p>
    <w:p>
      <w:r>
        <w:t>A/393/2012 - 26/26 -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