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ATAS/1405/2009 vom 19. Februar 2009</w:t>
      </w:r>
    </w:p>
    <w:p>
      <w:r>
        <w:t>GE Cour de justice, 2009-02-19, FR</w:t>
      </w:r>
    </w:p>
    <w:p>
      <w:r>
        <w:rPr>
          <w:b/>
        </w:rPr>
        <w:t xml:space="preserve">Quelle: </w:t>
      </w:r>
      <w:r>
        <w:t>https://mcp.opencaselaw.ch/entscheid/ge_gerichte_ATAS_1405_2009</w:t>
      </w:r>
    </w:p>
    <w:p>
      <w:r>
        <w:t>FR: GE_GERICHTE ATAS/1405/2009 du 19 février 2009</w:t>
      </w:r>
    </w:p>
    <w:p>
      <w:r>
        <w:t>IT: GE_GERICHTE ATAS/1405/2009 del 19 febbraio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27 août 1994, d’autre part le 31 mars 2009, date à laquelle le jugement de divorce est devenu exécutoire.</w:t>
      </w:r>
    </w:p>
    <w:p>
      <w:r>
        <w:rPr>
          <w:b/>
        </w:rPr>
        <w:t>E. 4</w:t>
      </w:r>
    </w:p>
    <w:p>
      <w:r>
        <w:t>Selon les renseignements recueillis, la prestation acquise pendant le mariage par le demandeur est de 4'024 fr. 25 (3'999.25 + 25). La demanderesse ne possède aucun avoir de vieillesse accumulé durant le mariage. Ainsi le demandeur doit à son ex- épouse le montant de 2'012 fr. 10 (4'024 fr. 25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Siégeant : Maya CRAMER, Présidente; Christine BULLIARD MANGILI et Evelyne BOUCHAARA, Juges assesseurs.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