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ATAS/1403/2012 vom 21. November 2012</w:t>
      </w:r>
    </w:p>
    <w:p>
      <w:r>
        <w:t>GE Cour de justice, 2012-11-21, FR</w:t>
      </w:r>
    </w:p>
    <w:p>
      <w:r>
        <w:rPr>
          <w:b/>
        </w:rPr>
        <w:t xml:space="preserve">Quelle: </w:t>
      </w:r>
      <w:r>
        <w:t>https://mcp.opencaselaw.ch/entscheid/ge_gerichte_ATAS_1403_2012</w:t>
      </w:r>
    </w:p>
    <w:p>
      <w:r>
        <w:t>FR: GE_GERICHTE ATAS/1403/2012 du 21 novembre 2012</w:t>
      </w:r>
    </w:p>
    <w:p>
      <w:r>
        <w:t>IT: GE_GERICHTE ATAS/1403/2012 del 21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 ss LPGA et 43 LPCC).</w:t>
      </w:r>
    </w:p>
    <w:p>
      <w:r>
        <w:rPr>
          <w:b/>
        </w:rPr>
        <w:t>E. 3</w:t>
      </w:r>
    </w:p>
    <w:p>
      <w:r>
        <w:t>L'objet du litige concerne le droit aux prestations complémentaires et le montant des prestations indûment perçues pendant la période d'avril 2010 à février 2012, selon la décision initiale du 3 février 2012. Cependant, dans sa décision sur opposition, l'intimé a étendu cette période jusqu'en mars 2012. Partant, il y a lieu de prendre en considération encore ce dernier mois, d'autant plus qu'il en résulte une créance rétroactive, avant compensation, pour le recourant.</w:t>
      </w:r>
    </w:p>
    <w:p>
      <w:r>
        <w:rPr>
          <w:b/>
        </w:rPr>
        <w:t>E. 4</w:t>
      </w:r>
    </w:p>
    <w:p>
      <w:r>
        <w:t>Selon l’art. 25 al. 1 LPGA, les prestations indûment touchées doivent être restituées.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w:t>
      </w:r>
    </w:p>
    <w:p>
      <w:r>
        <w:t>A/1168/2012 - 6/12 -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5</w:t>
      </w:r>
    </w:p>
    <w:p>
      <w:r>
        <w:t>a)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w:t>
      </w:r>
    </w:p>
    <w:p>
      <w:r>
        <w:rPr>
          <w:b/>
        </w:rPr>
        <w:t>E. 6</w:t>
      </w:r>
    </w:p>
    <w:p>
      <w:r>
        <w:t>a) En l'occurrence, il se pose d'abord la question de la prescription concernant le premier dessaisissement de 41'531 fr. 90. En effet, par décision du 3 février 2011, l'intimé a déjà pris une décision sur la base du bien dessaisi en 2009 de 41'531 fr. 90. Néanmoins, il a attendu le 3 février 2012 pour recalculer les prestations à partir d'avril 2010 jusqu'à février 2012, après avoir notifié au recourant deux décisions, les 17 décembre 2010 et 19 décembre 2011, pour déterminer les prestations complémentaires dès le 1er janvier de l'année suivante, sans tenir compte d'un dessaisissement.</w:t>
      </w:r>
    </w:p>
    <w:p>
      <w:r>
        <w:t>A/1168/2012 - 7/12 - Interrogé sur ce point, l'intimé a soutenu, dans son écriture du 15 août 2012, n'avoir reçu les dernières pièces utiles à la reprise du calcul le 24 février 2011, de sorte que sa décision de restitution du 3 février 2012 respectait de délai de prescription. Or, les nouvelles pièces transmises à cette date n'étaient d'aucune utilité pour la détermination du bien dessaisi en 2009, les dépenses postérieures à l'année de dessaisissement n'étant pas prises en considération pour ce calcul. La grande partie des pièces communiquées à cette occasion était par ailleurs déjà en possession de l'intimé à ce moment. Du reste, l'intimé avait déjà statué, par décision du 3 février 2010, sur la restitution des prestations indûment perçues de janvier à mars 2010, sur la base de ce même dessaisissement de 41'531 fr. 90, ce qui démontre que son dossier était complet pour l'établissement de ces biens dessaisis et pour demander la restitution des prestations indûment reçues à partir d'avril 2010. Cela étant, il sied d'admettre que l'intimé a reçu les dernières pièces utiles au calcul du bien dessaisi le 41'531 fr. 90 le 7 décembre 2010 au plus tard, de sorte que le délai de prescription a commencé à courir dès cette date. Ainsi, à la date de sa décision du 6 février 2012, le droit à la restitution des prestations indûment perçues jusqu'en janvier 2011 était prescrit. b) Dans sa décision sur opposition, l'intimé se prévaut également d'un bien dessaisi de 23'310 fr. 45. Ce faisant, il se fonde sur le montant de l'épargne communiqué en décembre 2010, selon ses propres dires. Or, ce n'est que par sa décision sur opposition du 27 mars 2012 que l'intimé demande pour la première fois au recourant la restitution de prestations sur la base de ce second dessaisissement. Cette décision est également largement postérieure au délai légal d'un an. Par conséquent, il y lieu de considérer qu'à la date du 27 mars 2012, la créance en restitution pour les mois d'avril 2010 à février 2011 était déjà prescrite.</w:t>
      </w:r>
    </w:p>
    <w:p>
      <w:r>
        <w:rPr>
          <w:b/>
        </w:rPr>
        <w:t>E. 7</w:t>
      </w:r>
    </w:p>
    <w:p>
      <w:r>
        <w:t>Il sied dès lors d'examiner si le recourant a perçu indûment des prestations complémentaires de février 2011 à mars 2012, du fait du premier dessaisissement de 41'531 fr. 90, puis de mars 2011 à mars 2012 du fait du second dessaisissement.</w:t>
      </w:r>
    </w:p>
    <w:p>
      <w:r>
        <w:rPr>
          <w:b/>
        </w:rPr>
        <w:t>E. 8</w:t>
      </w:r>
    </w:p>
    <w:p>
      <w:r>
        <w:t>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w:t>
      </w:r>
    </w:p>
    <w:p>
      <w:r>
        <w:t>A/1168/2012 - 8/12 - vieillesse, dans la mesure où elle dépasse 25'000 fr. pour les personnes seules (art. 11 al. 1 let. c LPC, dans sa teneur valable jusqu'au 31 décembre 2010).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w:t>
      </w:r>
    </w:p>
    <w:p>
      <w:r>
        <w:rPr>
          <w:b/>
        </w:rPr>
        <w:t>E. 9</w:t>
      </w:r>
    </w:p>
    <w:p>
      <w:r>
        <w:t>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w:t>
      </w:r>
    </w:p>
    <w:p>
      <w:r>
        <w:t>A/1168/2012 - 9/12 - 2001, P 35/99, consid. 2c). Il n'existe pas de limite temporelle à la prise en compte d'un dessaisissement (ATF 120 V 182 consid. 4f p. 186 s.). Selon l'art. 17a de l'ordonnance sur les prestations complémentaires à l’assurance- vieillesse, survivants et invalidité, du 15 janvier 1971 (OPC-AVS/AI ; RS 831.301), la valeur de la fortune lors du dessaisissement doit être reportée telle quelle au 1er janvier de l'année suivante (al. 2), puis réduite chaque année de 10'000 fr. (al. 1) jusqu'au 1er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w:t>
      </w:r>
    </w:p>
    <w:p>
      <w:r>
        <w:rPr>
          <w:b/>
        </w:rPr>
        <w:t>E. 10</w:t>
      </w:r>
    </w:p>
    <w:p>
      <w:r>
        <w:t>En l'occurrence, le recourant ne conteste pas le montant du premier dessaisissement de 41'531 fr. 90 retenu par l'intimé. En effet, il a indiqué le 2 septembre 2011 qu'il ne mettait pas en cause cette somme. Cela étant, le recourant est tenu de rembourser les prestations indûment perçues, pour autant que cela soit le cas, du fait du premier dessaisissement de 41'531 fr. 90, pendant la période non prescrite de février 2011 à mars 2012.</w:t>
      </w:r>
    </w:p>
    <w:p>
      <w:r>
        <w:rPr>
          <w:b/>
        </w:rPr>
        <w:t>E. 11</w:t>
      </w:r>
    </w:p>
    <w:p>
      <w:r>
        <w:t>S'agissant du second dessaisissement en 2010, il ressort du dossier que la fortune du recourant a effectivement diminué entre avril et novembre 2010. Pour cette période, l'intimé a retenu, outre les besoins annuels, les dépenses justifiées suivantes: frais bancaires de 64 fr., frais au Portugal de 880,15 euros (= 1'332 fr. 40), des tickets de dépenses de 74 fr. et un solde d'impôts de 598 fr. 65. Selon l'intimé, le bien dessaisi s'établit ainsi à 23'310 fr. 15. Toutefois l'intimé n'a pas pris en considération la facture des Pompes funèbres de la Ville de Genève du 6 avril 2010 de 4'428 fr., la facture relative à l'achat d'une pierre tombale du 1er juin 2010 de 400 euros et celle de Pompes funèbre au Portugal du</w:t>
      </w:r>
    </w:p>
    <w:p>
      <w:r>
        <w:rPr>
          <w:b/>
        </w:rPr>
        <w:t>E. 12</w:t>
      </w:r>
    </w:p>
    <w:p>
      <w:r>
        <w:t>Le recours sera par conséquent partiellement admis et la décision querellée annulée. Il sera en outre constaté que la créance en restitution portant sur la période d'avril 2010 à janvier 2011 et résultant du dessaisissement de 41'531 fr. 90, ainsi que la</w:t>
      </w:r>
    </w:p>
    <w:p>
      <w:r>
        <w:t>A/1168/2012 - 10/12 - créance en restitution portant sur la période d'avril 2010 à février 2011 et résultant du second dessaisissement, sont prescrites. Il sera également constaté qu'il y a lieu d'inclure dans les dépenses justifiées en 2010, concernant le second dessaisissement, les factures mentionnées au considérant 11 al. 2. La cause sera enfin renvoyée à l'intimé afin qu'il calcule la somme à restituer pendant la période non prescrite, compte tenu du seul dessaisissement de 41'531 fr. 90, établisse le montant du bien dessaisi en 2010, compte tenu des dépenses susmentionnées, et calcule la somme à restituer du fait du second dessaisissement pendant la période non prescrite.</w:t>
      </w:r>
    </w:p>
    <w:p>
      <w:r>
        <w:rPr>
          <w:b/>
        </w:rPr>
        <w:t>E. 13</w:t>
      </w:r>
    </w:p>
    <w:p>
      <w:r>
        <w:t>La procédure est gratuite.</w:t>
      </w:r>
    </w:p>
    <w:p>
      <w:r>
        <w:t>A/1168/2012 - 11/12 - PAR CES MOTIFS, LA CHAMBRE DES ASSURANCES SOCIALES : Statuant A la forme : 1. Déclare le recours recevable. Au fond : 2. L'admet partiellement. 3. Annule la décision du 27 mars 2012. 4. Constate que la créance en restitution portant sur la période d'avril 2010 à janvier 2011 et résultant du dessaisissement de 41'531 fr. 90, ainsi que la créance en restitution portant sur la période d'avril 2010 à février 2011 et résultant du second dessaisissement, sont prescrites. 5. Constate que le recourant a justifié pour 2010, en plus des dépenses déjà retenues par l'intimé, les dépenses suivantes: facture des Pompes funèbres de la Ville de Genève du 6 avril 2010 de 4'428 fr.; facture relative à l'achat d'une pierre tombale du 1er juin 2010 de 400 euros; facture des Pompes funèbres au Portugal du 12 avril 2010 de 565 euros. 6. Renvoie la cause à l'intimé pour recalculer le montant du bien dessaisi en 2010 et pour calculer le montant des prestations indûment perçues pendant la période de février 2011 à mars 2012 du fait du dessaisissement de 41'531 fr. 90, ainsi que le montant des prestations indûment perçues pendant la période de février 2011 à mars 2012 du fait du second dessaisissement en 2010.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A/1168/2012 - 12/12 -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