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ATAS/1403/2008 vom 28. November 2008</w:t>
      </w:r>
    </w:p>
    <w:p>
      <w:r>
        <w:t>GE Cour de justice, 2008-11-28, FR</w:t>
      </w:r>
    </w:p>
    <w:p>
      <w:r>
        <w:rPr>
          <w:b/>
        </w:rPr>
        <w:t xml:space="preserve">Quelle: </w:t>
      </w:r>
      <w:r>
        <w:t>https://mcp.opencaselaw.ch/entscheid/ge_gerichte_ATAS_1403_2008</w:t>
      </w:r>
    </w:p>
    <w:p>
      <w:r>
        <w:t>FR: GE_GERICHTE ATAS/1403/2008 du 28 novembre 2008</w:t>
      </w:r>
    </w:p>
    <w:p>
      <w:r>
        <w:t>IT: GE_GERICHTE ATAS/1403/2008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A/2328/2007 - 9/16 -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demi-rente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w:t>
      </w:r>
    </w:p>
    <w:p>
      <w:r>
        <w:t>A/2328/2007 - 10/16 -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A/2328/2007 - 11/16 -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conclut à l’octroi d’une demi-rente d’invalidité. Dans la mesure où elle ne conteste pas les conclusions de l’enquête ménagère, il faut en conclure qu’elle conteste principalement l’évaluation de sa capacité de travail résiduelle. Sur ce point, l’intimé, se basant sur l’expertise bidiscipliaire, a conclu à une capacité de travail totalement préservée dans une activité adaptée. En l’occurrence, les diagnostics de trouble statique du rachis dorsal et lombaire sur séquelles de Scheuermann, dorsalgies tenaces sur hypercyphose dorsale, et lombosciatique gauche et droite en alternance sur petite hernie discale L5-S1. posés sur le plan somatique par le Dr A__________ ne sont pas contestés. Il en va de même, sur le plan psychique, du diagnostic d’état dépressif posé tant par le Dr D_________ que par la Dresse C_________. Le Dr D_________ n’a pas précisé le degré de gravité de ce trouble mais a émis l’avis qu’il ne pouvait être considéré comme invalidant, ce que corrobore la Dresse C_________ qui conclut à un trouble de gravité légère. Les médecins divergent en revanche quant aux répercussions des troubles somatiques de l’assurée sur sa capacité de travail résiduelle. Le Dr A__________, médecin-traitant, conclut à une incapacité de travail de 50% depuis 2002, en ajoutant que l’état de santé de sa patiente va en s’aggravant. Il a précisé qu’à condition d’éviter les positions en flexion et demi-flexion du rachis, les positions statiques et le port de lourdes charges, une autre activité que celle de coiffeuse serait envisageable à raison de deux ou trois heures par jour au maximum. Le Dr B_________, s’il a retenu les mêmes limitations fonctionnelles, a quant à lui considéré que si celles-ci étaient respectées, l’assurée devrait pouvoir travailler à plein temps. Le rapport du Dr B_________ a été établi en pleine connaissance du dossier. Il tient compte des plaintes rapportées par l’assurée et ses conclusions, dûment motivées, ne laissent pas apparaître de contradictions. Il y a donc lieu de lui reconnaître pleine valeur probante. Il y a lieu d’ajouter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w:t>
      </w:r>
    </w:p>
    <w:p>
      <w:r>
        <w:t>A/2328/2007 - 12/16 -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Certes, les Drs A__________ et E_________ ont fait état de l’apparition d’un déficit sensitif au niveau du pied droit et d’une diminution de la force musculaire du membre inférieur droit. Cependant, aucun déficit moteur objectivable n’a été mis en évidence. Quant à la diminution de la force, le Dr A__________ a indiqué qu’elle se traduisait simplement par une marche un peu moins rapide. Ces faits ne sauraient donc remettre en cause les conclusions du Dr B_________. Quant à la discrète dénervation mise en évidence par le Dr G_________ postérieurement à la décision litigieuse, elle ne saurait entrer en considération dans le cadre du litige, étant rappelé que le juge, pour apprécier une cause, doit se baser sur l'état de fait réalisé à la date déterminante de la décision litigieuse. Si l’état de l’assurée devait encore s’aggraver, il lui serait cependant loisible de déposer une nouvelle demande de prestations auprès de l’Office. Eu égard aux considérations qui précèdent, force est de constater que c’est à juste titre que l’Office, se basant sur le rapport d’examen bidisciplinaire, a conclu à une capacité de travail entière dans une activité adaptée, c'est-à-dire permettant d’éviter les positions en flexion et demi-flexion du rachis, les positions statiques et le port de charges.</w:t>
      </w:r>
    </w:p>
    <w:p>
      <w:r>
        <w:rPr>
          <w:b/>
        </w:rPr>
        <w:t>E. 7</w:t>
      </w:r>
    </w:p>
    <w:p>
      <w:r>
        <w:t>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A/2328/2007 - 13/16 -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c) Aux termes de l’art. 27bis RAI, lorsque les assurés n’exercent une activité lucrative qu’à temps partiel,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et celle de l’accomplissement des autres travaux habituels et calculer le degré d’invalidité d’après le handicap dont la personne est affectée dans les deux domaines d’activité en question.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L’art. 27 RAI dispose que l’invalidité des assurés qui n’exerçaient pas d’activité lucrative au sens de l’art. 8 al. 3 LPGA, est évaluée en fonction de l’empêchement</w:t>
      </w:r>
    </w:p>
    <w:p>
      <w:r>
        <w:t>A/2328/2007 - 14/16 - d’accomplir leurs travaux habituels.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w:t>
      </w:r>
    </w:p>
    <w:p>
      <w:r>
        <w:rPr>
          <w:b/>
        </w:rPr>
        <w:t>E. 8</w:t>
      </w:r>
    </w:p>
    <w:p>
      <w:r>
        <w:t>En l’espèce, il n’est pas contesté que l’assurée, sans atteinte à la santé, aurait travaillé à 80%, ce qui aurait représenté en 2003, année durant laquelle la durée moyenne hebdomadaire de travail s’élevait à 41,7 h./sem., un horaire de 33,36 h./sem., les 20% étant consacrés à ses activités ménagères. Le taux d’empêchement à exercer ces activités a été fixé à 16,7 % par l’enquête ménagère, qui n’est pas contestée. Il s’agit dès lors de procéder à la comparaison des revenus pour la part consacrée à l’activité lucrative. Le revenu avant invalidité, évalué par l’intimé à 32'482 fr. (ESS 2002 TA 7 secteur 3, n° 34 [soins corporels] niveau de qualification 3 [CFC de coiffure] = 3'193 fr. par mois pour un horaire de 41,7 h./sem. à plein temps en 2002 = 32'485 fr. à 80% en 2003), n’est pas contesté, de sorte qu’il convient de le retenir. Quant au revenu après invalidité, étant rappelé que la recourante pourrait exercer à plein temps une activité adaptée à ses limitations et, a fortiori, à 80%, il y a lieu, conformément à une jurisprudence bien établie, de se référer aux données statistiques (Enquête suisse sur la structure des salaires - ESS) lorsque, comme en l’espèce, l’assurée n’a pas repris d’activité lucrative (ATF 126 V 76 et ss. consid. 3b/aa et bb ; VSI 2002 p. 68 consid. 3b). Pour une activité simple et répétitive de 40 heures (ESS 2002 TA 1), le salaire mensuel s’élevait pour les femmes à 3'820 fr. en 2002. Dans cette catégorie, l’on trouve des activités qui peuvent être adaptées aux limitations fonctionnelles de la recourante et qui ne demandent aucune formation professionnelle. Compte tenu de l’horaire de travail de 41,7 heures habituelles dans les entreprises cette année-là, (la Vie économique 9/2007 p. 99 tableau B10.3), cela</w:t>
      </w:r>
    </w:p>
    <w:p>
      <w:r>
        <w:t>A/2328/2007 - 15/16 - équivaut à un revenu mensuel de 3'982 fr. 35 en 2002, soit 47'788 fr. 20 par année, soit, après adaptation à l’évolution des salaires nominaux (cf. La Vie économique 9/2007 p. 99), un revenu annuel de 48'465 fr. 20 en 2003 pour un plein temps et de 38'772 fr. 15 pour un taux d’activité de 80%, c'est-à-dire, après application d’une réduction supplémentaire de 10% parfaitement justifiée en l’espèce, 34'895 fr. Force est de constater qu’il ne résulte aucune perte de gain de la comparaison de ces deux revenus et que le degré d’invalidité concernant la part consacrée à l’activité lucrative est donc de 0% Il s’agit à présent de procéder à l’évaluation du taux d’invalidité global au moyen de la méthode mixte d’évaluation ; ce taux se détermine à l’aide de la formule suivante :</w:t>
      </w:r>
    </w:p>
    <w:p>
      <w:r>
        <w:t>E x IE + ([EZ - E] x H) EZ</w:t>
      </w:r>
    </w:p>
    <w:p>
      <w:r>
        <w:t>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w:t>
      </w:r>
    </w:p>
    <w:p>
      <w:r>
        <w:t>Le calcul à effectuer est donc le suivant : [33.36 x 0 + ([41.7 – 33.36] x 16.7)] : 41.7 = 3.34%, taux insuffisant à ouvrir droit à une rente. Au vu de ce qui précède, force est de constater que le recours, mal fondé, doit être rejeté.</w:t>
      </w:r>
    </w:p>
    <w:p>
      <w:r>
        <w:t>A/2328/2007 - 16/16 -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