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ATAS/1403/2007 vom 5. Dezember 2007</w:t>
      </w:r>
    </w:p>
    <w:p>
      <w:r>
        <w:t>GE Cour de justice, 2007-12-05, FR</w:t>
      </w:r>
    </w:p>
    <w:p>
      <w:r>
        <w:rPr>
          <w:b/>
        </w:rPr>
        <w:t xml:space="preserve">Quelle: </w:t>
      </w:r>
      <w:r>
        <w:t>https://mcp.opencaselaw.ch/entscheid/ge_gerichte_ATAS_1403_2007</w:t>
      </w:r>
    </w:p>
    <w:p>
      <w:r>
        <w:t>FR: GE_GERICHTE ATAS/1403/2007 du 5 décembre 2007</w:t>
      </w:r>
    </w:p>
    <w:p>
      <w:r>
        <w:t>IT: GE_GERICHTE ATAS/1403/2007 del 5 dicembre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t>A/736/2007 - 6/13 -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 délai et la forme prévus par la loi, le recours est recevable (art. 56 et 60 LPGA).</w:t>
      </w:r>
    </w:p>
    <w:p>
      <w:r>
        <w:rPr>
          <w:b/>
        </w:rPr>
        <w:t>E. 4</w:t>
      </w:r>
    </w:p>
    <w:p>
      <w:r>
        <w:t>Le litige porte sur le degré d'invalidité du recourant et, partant, sur son droit à percevoir des prestations de l'assurance-invalidité.</w:t>
      </w:r>
    </w:p>
    <w:p>
      <w:r>
        <w:rPr>
          <w:b/>
        </w:rPr>
        <w:t>E. 5</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w:t>
      </w:r>
    </w:p>
    <w:p>
      <w:r>
        <w:t>A/736/2007 - 7/13 -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261 consid. 4, 115 V 134 consid. 2, 114 V 314 consid. 3c, 105 V 158 consid. 1).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du 6 mai 2003, I 762/02).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A/736/2007 - 8/13 -</w:t>
      </w:r>
    </w:p>
    <w:p>
      <w:r>
        <w:rPr>
          <w:b/>
        </w:rPr>
        <w:t>E. 7</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Si l'on ne peut déterminer ou évaluer sûrement les deux revenus en cause, il faut, en s'inspirant de la méthode spécifique pour non-actifs (art. 27 RAI), procéder à une comparaison des activités et évaluer le degré d'invalidité d'après l'incidence de la capacité de rendement amoindrie sur la situation économique concrète. La différence fondamentale entre la procédure extraordinaire d'évaluation et la méthode spécifique (selon l'art. 28 al. 3 LAI en corrélation avec les art. 26bis et 27 al. 1 RAI)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(procédure extraordinaire d'évaluation; ATF 130 V 348, consid. 3.4, ATF 128 V 30 consid. 1, 104 V 136 consid. 2; VSI 1998 p. 122 consid. 1a et p. 257 consid. 2b; jusqu'au 31 décembre 2002: art. 28 al. 2 LAI; du 1er janvier au 31 décembre 2003: art. 1 al. 1 LAI en corrélation avec l'art. 16 LPGA; depuis le 1er janvier 2004: art. 28 al. 2 LAI en corrélation avec l'art. 16 LPGA). Par ailleurs,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8</w:t>
      </w:r>
    </w:p>
    <w:p>
      <w:r>
        <w:t>Le recourant conteste pouvoir travailler à raison de 80 % dans une activité adaptée et de 60 % dans son activité actuelle. Selon le médecin traitant, le recourant a présenté une incapacité de travail totale dès le 18 avril 2004 et de 50 % dès le 2 août 2004 dans son activité habituelle.</w:t>
      </w:r>
    </w:p>
    <w:p>
      <w:r>
        <w:t>A/736/2007 - 9/13 - Dans son rapport d'expertise du 3 février 2006, le Dr C__________, pour les mêmes diagnostics, retient une incapacité de travail totale du 18 avril 2004 au 1er août 2004, puis une capacité de travail de 60 % dans l'activité d'antiquaire indépendant. Dans une activité adaptée respectant les limitations fonctionnelles, s'exerçant principalement en position assise, ne comprenant pas le port de charges modérées à lourdes avec le bras gauche et sans position contraignante pour le dos, la capacité de travail est d'environ 80 %. Le Tribunal de céans constate que l'expertise établie par le Dr C__________ remplit toutes les exigences de la jurisprudence pour lui attribuer pleine valeur probante. En effet, l'expert a pris connaissance de l'intégralité du dossier médical du recourant, l'expertise comporte une anamnèse détaillée, le médecin a examiné l'assuré et pris en compte ses plaintes, enfin ses conclusions sont claires et convaincantes. Au surplus, l'évaluation de la capacité de travail par l'expert dans l'activité actuelle d'antiquaire indépendant, soit 60 %, rejoint, à peu de différence près, celle du médecin traitant. L'expert s'est enfin prononcé sur l'exigibilité dans une activité adaptée respectant les limitations, qu'il a estimée à 80 %. Au vu de ce qui précède, le Tribunal n'a aucun motif lui permettant de s'écarter des conclusions de l'expert. S'agissant de l'aggravation de l'état de santé invoquée par le recours, le Tribunal de céans relève que dans une attestation du 10 mai 2007 - postérieure à la décision litigieuse - le Dr JACCARD, spécialiste FMH en médecine interne et rhumatologie, fait état de douleurs cervicales, de l'épaule gauche, de troubles neurologiques des membres supérieurs et de gonalgies droites. Force est cependant de constater que le rapport très succinct du médecin ne mentionne pas, hormis les troubles neurologiques, de nouvelle atteinte à la santé et qu'au surplus ces affections entraînent une incapacité de travail temporaire de trois semaines. Quoi qu'il en soit, il appartiendra au recourant, le cas échéant, de déposer une demande de révision.</w:t>
      </w:r>
    </w:p>
    <w:p>
      <w:r>
        <w:rPr>
          <w:b/>
        </w:rPr>
        <w:t>E. 9</w:t>
      </w:r>
    </w:p>
    <w:p>
      <w:r>
        <w:t>Reste à déterminer quel est le degré d'invalidité du recourant.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sans invalidité se détermine en règle générale d'après le dernier salaire que l'assuré a obtenu avant l'atteinte à la santé, en tenant compte de l'évolution des salaires jusqu'au moment du prononcé de la décision (ATF 129 V 224 consid. 4.3.1). On ne saurait s'écarter d'un tel revenu pour le seul motif que l'assuré disposait, avant la survenance de son invalidité, de meilleures possibilités de gain</w:t>
      </w:r>
    </w:p>
    <w:p>
      <w:r>
        <w:t>A/736/2007 - 10/13 -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(PJA 2002 1487; RCC 1992 p. 96 consid. 4a). Si l'assuré exerçait une activité lucrative indépendante avant la survenance de son handicap, il convient de prendre en compte le développement probable que son entreprise aurait eu s'il n'avait pas dû y mettre un terme en raison de son invalidité, au regard des aptitudes professionnelles et personnelles de l'intéressé (RCC 1985 p. 662 s. consid. 3a, 1981 p. 41 consid. 2; DUC, L'assurance-invalidité, in : Schweizerisches Bundesverwaltungsrecht, Soziale Sicherheit, 2ème édition, ch. 218 et note n° 269).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(VSI 1998 p. 124 consid. 2c et p. 259 consid. 4a). Lorsqu'il n'est pas possible d'établir ou d'évaluer de manière fiable les deux revenus provenant d'une activité lucrative, il faut appliquer la méthode extraordinaire d'évaluation de l'invalidité (ATF 128 V 30 consid. 1). Selon cette méthode, on commence par déterminer, sur la base d'une comparaison des activités,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30 consid. 1, 104 V 136 consid. 2; VSI 1998 p. 122 consid. 1a et p. 257 consid. 2b).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w:t>
      </w:r>
    </w:p>
    <w:p>
      <w:r>
        <w:t>A/736/2007 - 11/13 - structure des salaires (ESS; ATF 126 V 76 consid. 3b/aa et bb).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79-80 consid. 5b/aa-cc).</w:t>
      </w:r>
    </w:p>
    <w:p>
      <w:r>
        <w:rPr>
          <w:b/>
        </w:rPr>
        <w:t>E. 10</w:t>
      </w:r>
    </w:p>
    <w:p>
      <w:r>
        <w:t>En l'espèce, pour évaluer l'invalidité du recourant, c'est à juste titre que l'intimé a appliqué la méthode extraordinaire d'évaluation, dès lors que le dossier ne contient aucune donnée économique permettant d'établir les deux revenus hypothétiques provenant d'une activité lucrative (cf. ATF 128 V 30 consid. 1). En effet, le recourant n'a pu fournir aucun document comptable et a précisé par ailleurs que ces dernières années, d'importants problèmes familiaux se sont sensiblement répercutés sur sa capacité de gain.</w:t>
      </w:r>
    </w:p>
    <w:p>
      <w:r>
        <w:rPr>
          <w:b/>
        </w:rPr>
        <w:t>E. 11</w:t>
      </w:r>
    </w:p>
    <w:p>
      <w:r>
        <w:t>En conséquence, faute de données comptables, il y a lieu d'établir, dans le cadre de la méthode extraordinaire d'évaluation de l'invalidité, les revenus avec et sans invalidité sur la base des salaires statistiques après pondération des champs d'activité et des empêchements. Il convient pour ce faire de se placer en 2005, date de l'éventuelle ouverture du droit à une rente selon l'art. 29 al. 1 LAI. Pour la répartition des champs d'activités, l'OCAI, après réexamen de la situation et au vu des précisions apportées par le recourant, a considéré que sans atteinte à la santé, les activités se répartissent comme suit : direction 20 %, achats/ventes 50 %, expertises 30 %. L'intimé a considéré que les seuls empêchements dont il convenait de tenir compte sont ceux rencontrés dans les activités d'achats et de ventes, à hauteur de 50 %, de sorte que l'incapacité de travail pondérée est de 25 %. Concernant les revenus, l'intimé s'est fondé sur le tableau TA7 des ESS (secteur privé et secteur public Suisse 2004) pour les diverses activités (chiffres 23, 35 et 26, salaires des hommes, avec des connaissances professionnelles spéciales, soit le niveau 3) et a déterminé un revenu annuel sans invalidité de 77'981 fr. Compte tenu des empêchements, la diminution du revenu de l'activité professionnelle s'élève à 19'314 fr., le revenu d'invalide à 58'667 fr. et le degré d'invalidité du recourant est de 25 %, étant rappelé que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(ATFA non publié du 15 avril 2003, I 1/03, consid. 5.2).</w:t>
      </w:r>
    </w:p>
    <w:p>
      <w:r>
        <w:t>A/736/2007 - 12/13 - Le Tribunal constate que l'intimé a retenu - généreusement - des empêchements à hauteur de 50 % dans les activités d'achats et de ventes, mais qu'il n'a pas procédé à un abattement sur le salaire d'invalide. Or, ainsi que le Tribunal de céans a déjà eu l'occasion de le juger, un tel abattement doit être également appliqué en cas d'utilisation de la méthode extraordinaire d'évaluation de l'invalidité dès lors que les limitations de l'assuré, sa capacité de travail partielle et la pratique d'activités légères impliquent un salaire moins élevé qu'un travailleur en bonne santé (cf. ATAS/958/2006 et ATFA non publié du 30 décembre 2003, I 238/03, consid. 5.2). Toutefois, même en tenant compte d'un abattement de 10 %, la comparaison des gains (revenu d'invalide 52'800 fr.) laisse apparaître un degré d'invalidité - arrondi - de 29 %, insuffisant pour ouvrir droit à une rente. Le recourant conteste la répartition des champs d'activités effectuée par l'intimé et soutient que dans son cas, elle doit s'établir comme suit : 15 % direction, 75 % achats/ventes et 10 % pour les travaux d'expertises. Quant aux empêchements, il considère qu'ils sont de 20 % pour les activités de direction et d'expertise et de 50 % dans celles concernant l'achat et la vente, de sorte que le taux de la diminution du revenu de l'activité professionnelle ne saurait être inférieur à 42 %. Tel n'est pas l'avis du Tribunal de céans. En effet, il appartient au recourant, dans le cadre de son obligation de réduire le dommage, de réorganiser son activité. A cet égard, on peut raisonnablement attendre de lui qu'il développe ses activités liées aux expertises dans la mesure retenue par l'OCAI, ce d'autant que ce créneau, compte tenu de l'expérience du recourant et des renseignements recueillis par l'intimé en cours de procédure, apparaît tout à fait réaliste. Enfin, contrairement à ce que soutient le recourant, l'on ne saurait admettre aucun empêchement dans les activités de direction et d'expertise, lesquelles sont entièrement compatibles avec les limitations fonctionnelles du recourant comme le relève, à juste titre l'intimé. La répartition des champs d'activités déterminée par l'intimé ne prête ainsi pas le flanc à la critique.</w:t>
      </w:r>
    </w:p>
    <w:p>
      <w:r>
        <w:rPr>
          <w:b/>
        </w:rPr>
        <w:t>E. 12</w:t>
      </w:r>
    </w:p>
    <w:p>
      <w:r>
        <w:t>Au vu de ce qui précède, mal fondé, le recours doit être rejeté.</w:t>
      </w:r>
    </w:p>
    <w:p>
      <w:r>
        <w:rPr>
          <w:b/>
        </w:rPr>
        <w:t>E. 13</w:t>
      </w:r>
    </w:p>
    <w:p>
      <w:r>
        <w:t>Conformément à l'art. 69 al. 1bis LAI, en vigueur dès le 1er juillet 2006, un émolument, fixé en l'occurrence à 200 fr., est mis à la charge du recourant.</w:t>
      </w:r>
    </w:p>
    <w:p>
      <w:r>
        <w:t>A/736/2007 - 13/13 -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