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ATAS/1402/2012 vom 21. November 2012</w:t>
      </w:r>
    </w:p>
    <w:p>
      <w:r>
        <w:t>GE Cour de justice, 2012-11-21, FR</w:t>
      </w:r>
    </w:p>
    <w:p>
      <w:r>
        <w:rPr>
          <w:b/>
        </w:rPr>
        <w:t xml:space="preserve">Quelle: </w:t>
      </w:r>
      <w:r>
        <w:t>https://mcp.opencaselaw.ch/entscheid/ge_gerichte_ATAS_1402_2012</w:t>
      </w:r>
    </w:p>
    <w:p>
      <w:r>
        <w:t>FR: GE_GERICHTE ATAS/1402/2012 du 21 novembre 2012</w:t>
      </w:r>
    </w:p>
    <w:p>
      <w:r>
        <w:t>IT: GE_GERICHTE ATAS/1402/2012 del 21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 ss LPGA et 43 LPCC).</w:t>
      </w:r>
    </w:p>
    <w:p>
      <w:r>
        <w:rPr>
          <w:b/>
        </w:rPr>
        <w:t>E. 3</w:t>
      </w:r>
    </w:p>
    <w:p>
      <w:r>
        <w:t>Le litige porte sur le droit aux prestations complémentaires fédérales et cantonales de la recourante.</w:t>
      </w:r>
    </w:p>
    <w:p>
      <w:r>
        <w:rPr>
          <w:b/>
        </w:rPr>
        <w:t>E. 4</w:t>
      </w:r>
    </w:p>
    <w:p>
      <w:r>
        <w:t>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37'50000 fr. pour les personnes seules (art. 11 al. 1 let. c LPC). Sont également comprises dans les revenus déterminants,</w:t>
      </w:r>
    </w:p>
    <w:p>
      <w:r>
        <w:t>A/2555/2012 - 5/7 -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w:t>
      </w:r>
    </w:p>
    <w:p>
      <w:r>
        <w:rPr>
          <w:b/>
        </w:rPr>
        <w:t>E. 5</w:t>
      </w:r>
    </w:p>
    <w:p>
      <w:r>
        <w:t>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w:t>
      </w:r>
    </w:p>
    <w:p>
      <w:r>
        <w:t>A/2555/2012 - 6/7 - Selon l'art. 17a de l'ordonnance sur les prestations complémentaires à l’assurance- vieillesse, survivants et invalidité, du 15 janvier 1971 (OPC-AVS/AI ; RS 831.301), la valeur de la fortune lors du dessaisissement doit être reportée telle quelle au 1er janvier de l'année suivante (al. 2), puis réduite chaque année de 10'000 fr. (al. 1) jusqu'au 1er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w:t>
      </w:r>
    </w:p>
    <w:p>
      <w:r>
        <w:rPr>
          <w:b/>
        </w:rPr>
        <w:t>E. 6</w:t>
      </w:r>
    </w:p>
    <w:p>
      <w:r>
        <w:t>En l'espèce, la recourante a touché le 4 septembre 2009 sa prestation de libre passage de 308'122 fr. 10 en espèces. Au 31 décembre 2011, sa fortune n'était plus que de 4'910 fr. 50. La recourante n'a en outre pas réussi à justifier ses dépenses, se contentant d'affirmer avoir utilisé son avoir de vieillesse pour payer des dettes, des impôts, des vêtements, une voiture et des voyages. Il n'a par ailleurs pas été possible de procéder à une instruction complémentaire, en vertu de la maxime d'office, la recourante ayant refusé de signer une procuration déliant ses banques du secret professionnel à l'égard de la Cour de céans.</w:t>
      </w:r>
    </w:p>
    <w:p>
      <w:r>
        <w:t>Dans ces conditions, il convient de constater que c'est à raison que l'intimé a retenu des biens dessaisis d'un montant de 290'550 fr., ainsi qu'un produit hypothétique de ceux-ci de 1'162 fr. 12. Le calcul de l'intimé n'étant pas contesté pour le surplus, il s'avère que sa décision est fondée.</w:t>
      </w:r>
    </w:p>
    <w:p>
      <w:r>
        <w:rPr>
          <w:b/>
        </w:rPr>
        <w:t>E. 7</w:t>
      </w:r>
    </w:p>
    <w:p>
      <w:r>
        <w:t>S'agissant des prestations complémentaires cantonales, il convient de relever, outre le dessaisissement constaté, qu'en vertu de l'art. 2 al. 4 LPCC, les personnes qui ont choisi, au moment de la retraite, un capital de prévoyance professionnelle en lieu et place d'une rente et qui l'ont consacré à un autre but de la prévoyance ne peuvent bénéficier des prestations accordées en application de la présente loi.</w:t>
      </w:r>
    </w:p>
    <w:p>
      <w:r>
        <w:t>Il résulte de cette disposition que la recourante ne peut en tout état de cause bénéficier des prestations complémentaires cantonales, dans la mesure où, selon ses propres allégués, elle n'a pas utilisé son avoir de vieillesse dans un but de prévoyance professionnelle, mais pour l'achat de divers objets et de voyages. Elle n'a par ailleurs pas réussi à prouver avoir affecté cet avoir au paiement de ses dettes.</w:t>
      </w:r>
    </w:p>
    <w:p>
      <w:r>
        <w:rPr>
          <w:b/>
        </w:rPr>
        <w:t>E. 8</w:t>
      </w:r>
    </w:p>
    <w:p>
      <w:r>
        <w:t>Au vu de ce qui précède, le recours sera rejeté.</w:t>
      </w:r>
    </w:p>
    <w:p>
      <w:r>
        <w:rPr>
          <w:b/>
        </w:rPr>
        <w:t>E. 9</w:t>
      </w:r>
    </w:p>
    <w:p>
      <w:r>
        <w:t>La procédure est gratuite.</w:t>
      </w:r>
    </w:p>
    <w:p>
      <w:r>
        <w:t>A/2555/2012 - 7/7 -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