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ATAS/1402/2008 vom 28. November 2008</w:t>
      </w:r>
    </w:p>
    <w:p>
      <w:r>
        <w:t>GE Cour de justice, 2008-11-28, FR</w:t>
      </w:r>
    </w:p>
    <w:p>
      <w:r>
        <w:rPr>
          <w:b/>
        </w:rPr>
        <w:t xml:space="preserve">Quelle: </w:t>
      </w:r>
      <w:r>
        <w:t>https://mcp.opencaselaw.ch/entscheid/ge_gerichte_ATAS_1402_2008</w:t>
      </w:r>
    </w:p>
    <w:p>
      <w:r>
        <w:t>FR: GE_GERICHTE ATAS/1402/2008 du 28 novembre 2008</w:t>
      </w:r>
    </w:p>
    <w:p>
      <w:r>
        <w:t>IT: GE_GERICHTE ATAS/1402/2008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Dérieure au 1er janvier 2003, respectivement au 1er janvier 2004, étant précisé que le juge n'a pas à prendre en considération les modifications du droit ou de l'état de fait Dérieures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Est litigieuse en l'espèce la suppression de la rente entière d'invalidité allouée jusqu'alors au recourant. Singulièrement, il convient d'examiner si les conditions d'une révision du droit à la rente sont présentement remplies.</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w:t>
      </w:r>
    </w:p>
    <w:p>
      <w:r>
        <w:t>A/2089/2007 - 8/11 -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Par ailleurs, l’art. 53 LPGA prévoit que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d'une révision au sens de l'art. 17 LPGA font défaut, l'administration peut néanmoins éventuellement revenir sur une décision sur laquelle une autorité judiciaire ne s'est pas prononcée sous l'angle matériel si les conditions d'une reconsidération sont réunies. Si le juge est le premier à constater que la décision initiale était certainement erronée, il peut confirmer, en invoquant</w:t>
      </w:r>
    </w:p>
    <w:p>
      <w:r>
        <w:t>A/2089/2007 - 9/11 - ce motif, la décision de révision prise par l'administration (ATF 125 V 369 consid. 2 et les arrêts cités; cf. aussi ATF 122 V 373 consid. 2c et 390 consid. 1b).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En revanche,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(cf. notamment ATFA I 790/01 du 14 août 2003, consid, 3; ATFA I 222/02 du 19 décembre 2002, consid. 3.2, et les références).</w:t>
      </w:r>
    </w:p>
    <w:p>
      <w:r>
        <w:rPr>
          <w:b/>
        </w:rPr>
        <w:t>E. 7</w:t>
      </w:r>
    </w:p>
    <w:p>
      <w:r>
        <w:t>En l'espèce, force est de constater que si l'ophtalmologue a bien fait état d'une amélioration de la vision du recourant suite à une quatrième intervention, la situation sur le plan neuropsychologique n'a fait l'objet d'aucune investigation supplémentaires, alors qu'il apparaît que ce sont avant tout pour des raisons neurologiques que la rente a été octroyée initialement. Contrairement à ce que soutient l'intimé, cette rente n'a pas été accordée en raison de l'atteinte oculaire D- traumatique exclusivement. On en veut pour preuve le fait qu'en mars 2000 déjà, le Dr L__________ indiquait qu'il n'y avait pas d'incapacité de travail dans une activité ne requérant pas une vision binoculaire parfaite, précisant que grâce aux interventions, le patient paraissait satisfait et semblait se débrouiller dans la vie de tous les jours. Ce qui a motivé l'octroi d'une rente, ce sont bien plutôt les atteintes physiques et neurologiques évoquées par le Dr M__________ et la division de</w:t>
      </w:r>
    </w:p>
    <w:p>
      <w:r>
        <w:t>A/2089/2007 - 10/11 - réadaptation professionnelle. Cela ressort d'ailleurs clairement du dernier rapport établi par cette dernière le 11 août 2006, qui mentionne expressément : " à l'époque, le maintien de la rente a été proposé en raison des troubles physiques, ophtalmologiques et neurologiques". Or, force est de constater que lesdits troubles n'ont fait l'objet d'aucune investigation dans le cadre de la révision qui a abouti à la suppression de la rente. En l'absence du moindre renseignement sur ce plan, le Tribunal de céans constate qu'il est dans l'impossibilité de dire si l'état de l'assuré s'est amélioré - en dehors du plan ophtalmologique - de sorte à influencer son droit aux prestations.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que des investigations médicales complémentaires sont nécessaires pour déterminer si l'état de santé de l'assuré, en particulier sur le plan neuropsychologique, s'est amélioré de manière à influencer sa capacité de travail et son droit aux prestations. La cause n'étant, de l'avis du Tribunal de céans,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à une expertise neurologique et psychiatrique par des médecins spécialisés en la matière, se détermine sur l'évolution de l'état de santé du recourant et ses répercussions sur son droit aux prestations de l'assurance-invalidité.</w:t>
      </w:r>
    </w:p>
    <w:p>
      <w:r>
        <w:t>A/2089/2007 - 11/11 -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