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ATAS/1400/2012 vom 21. November 2012</w:t>
      </w:r>
    </w:p>
    <w:p>
      <w:r>
        <w:t>GE Cour de justice, 2012-11-21, FR</w:t>
      </w:r>
    </w:p>
    <w:p>
      <w:r>
        <w:rPr>
          <w:b/>
        </w:rPr>
        <w:t xml:space="preserve">Quelle: </w:t>
      </w:r>
      <w:r>
        <w:t>https://mcp.opencaselaw.ch/entscheid/ge_gerichte_ATAS_1400_2012</w:t>
      </w:r>
    </w:p>
    <w:p>
      <w:r>
        <w:t>FR: GE_GERICHTE ATAS/1400/2012 du 21 novembre 2012</w:t>
      </w:r>
    </w:p>
    <w:p>
      <w:r>
        <w:t>IT: GE_GERICHTE ATAS/1400/2012 del 21 novembre 2012</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(art. 56ss LPGA), le présent recours est recevable.</w:t>
      </w:r>
    </w:p>
    <w:p>
      <w:r>
        <w:rPr>
          <w:b/>
        </w:rPr>
        <w:t>E. 3</w:t>
      </w:r>
    </w:p>
    <w:p>
      <w:r>
        <w:t>Le litige porte sur le degré d'invalidité du recourant, en particulier sur son droit à une rente d'invalidité.</w:t>
      </w:r>
    </w:p>
    <w:p>
      <w:r>
        <w:t>A/1592/2012 - 12/20 -</w:t>
      </w:r>
    </w:p>
    <w:p>
      <w:r>
        <w:rPr>
          <w:b/>
        </w:rPr>
        <w:t>E. 4</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5</w:t>
      </w:r>
    </w:p>
    <w:p>
      <w:r>
        <w:t>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b) L’art. 28 al. 2 LAI dispose que l’assuré a droit à une rente entière s’il est invalide à 70% au moins, à trois quarts de rente s’il est invalide à 60% au moins, à une demi-rente s’il est invalide à 50% au moins ou à un quart de rente s’il est invalide à 40% au moins. c)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Cette réglementation n'est toutefois pas applicable dans les cas où le délai d'attente a commencé à courir avant</w:t>
      </w:r>
    </w:p>
    <w:p>
      <w:r>
        <w:t>A/1592/2012 - 13/20 - le 1er janvier 2008 (ATF non publié 9C_583/2010 du 22 septembre 2011, consid. 4.1). Dans cette hypothèse et lorsque la demande a été déposée avant le 1er janvier 2009, en dérogation à l'art. 29 al. 1 LAI dans sa teneur en vigueur dès le 1er janvier 2008, la rente peut alors être versée dès que l'année d'attente est achevée (Lettre-circulaire n°300 de l'OFFICE FÉDÉRAL DES ASSURANCES SOCIALES du 15 juillet 2011, Droit transitoire: application des délais de péremption; ATF non publié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w:t>
      </w:r>
    </w:p>
    <w:p>
      <w:r>
        <w:t>A/1592/2012 - 14/20 -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w:t>
      </w:r>
    </w:p>
    <w:p>
      <w:r>
        <w:rPr>
          <w:b/>
        </w:rPr>
        <w:t>E. 7</w:t>
      </w:r>
    </w:p>
    <w:p>
      <w:r>
        <w:t>En l'espèce, le recourant a fait l'objet de plusieurs expertises et examens approfondis par le SMR. L'expertise du Dr V___________ contient une anamnèse et tient compte des plaintes du recourant. Ce médecin a posé ses diagnostics après avoir pris connaissance du dossier médical et en se fondant sur un examen clinique complet. Ses conclusions sont en outre claires et convaincantes. Elle correspond ainsi en tous points aux critères dégagés par le Tribunal fédéral pour se voir reconnaître une pleine valeur probante. Tel est également le cas du rapport du Dr C__________. Ce médecin a en effet réalisé un examen clinique détaillé après avoir étudié l'essentiel des pièces médicales au dossier et retracé l'anamnèse du</w:t>
      </w:r>
    </w:p>
    <w:p>
      <w:r>
        <w:t>A/1592/2012 - 15/20 - recourant. Il relate les plaintes de ce dernier avec précision et ses conclusions sont motivées. Elles tiennent en effet non seulement compte des atteintes déjà retenues par le Dr V___________ mais aussi des troubles du rachis, puisqu'elles excluent notamment le port répétitif de charges de plus de 5 kg et occasionnel de charges de plus de 10 kg. Les autres rapports médicaux ne permettent pas de remettre en cause les conclusions des experts du SMR. Il faut noter en particulier que le problème cardiaque n'a pas entraîné d'incapacité de travail durable, comme cela ressort des rapports du Dr P___________ du 2 septembre 2008 et du 16 juin 2009, ce que corrobore le rapport des Drs Q___________ et R___________ qui ont fait état en octobre 2008 de très bons résultats après réadaptation. S'agissant de la gonarthrose, il y a lieu de rappeler que le Dr S___________ a considéré dans son rapport du 16 juin 2009 qu'une reprise du travail aurait été possible dès mars 2009. Dans son courrier du 31 juillet 2009, ce médecin n'a pas émis de limitations fonctionnelles plus importantes que celles retenues par le Dr V___________. S'il est vrai que le Dr S___________ ignorait à cette date l'existence d'une lésion méniscale, il ne s'est pas formellement prononcé sur la capacité de travail entraînée par cette lésion et semble admettre une capacité résiduelle dans son rapport du 16 décembre 2009. En ce qui concerne le Dr B___________, il a simplement émis l'avis qu'une nouvelle évaluation serait appropriée mais ne fait pas état de diagnostics que les experts auraient ignorés et ne se prononce en particulier pas sur la capacité de travail. On ajoutera à ce propos que la nécessité d'une nouvelle évaluation paraît pour le moins discutable, puisque les douleurs que le recourant lui a rapportées ne sont pas survenues un an auparavant seulement, mais sont similaires à celles dont il s'est plaint lors de l'examen du Dr V___________. Le recourant a d'ailleurs confirmé au Dr C__________ que ses douleurs aux genoux n'avaient pas évolué depuis l'examen par l'orthopédiste du SMR. Quant aux problèmes de sommeil, ils font l'objet d'un traitement par appareillage et n'entraînent pas d'incapacité de travail selon le Dr V___________, ce que la Dresse U___________ n'affirme d'ailleurs pas. Les rapports du Dr O___________ ne permettent pas non plus de s'écarter des conclusions des experts. On notera en premier lieu que ce médecin a fait état d'une aggravation de l'état de santé du recourant en 2009 en raison d'une angioplastie, bien que les cardiologues suivant ce dernier aient affirmé que cette atteinte n'avait pas d'incidence sur la capacité de travail. Quant à la progression de l'arthrose et de la déchirure méniscale relevées en janvier 2010, elles ne suffisent pas à établir une incapacité de travail totale dès lors qu'elles n'empêchent pas le recourant d'exercer une activité adaptée aux limitations fonctionnelles qu'elles entraînent. Le Dr O___________ a par ailleurs noté en décembre 2010 que les lombalgies récemment apparues étaient maîtrisées, si bien qu'on ne saurait non plus admettre que cette atteinte a une répercussion importante sur la capacité de travail. De plus, ce médecin est pour le moins contradictoire dans ses appréciations puisqu'il a établi un certificat à l'attention de l'assurance-chômage attestant d'une capacité de travail</w:t>
      </w:r>
    </w:p>
    <w:p>
      <w:r>
        <w:t>A/1592/2012 - 16/20 - totale dans une profession adaptée en mai 2010, alors qu'il indiquait au mois de juin suivant à l'intimé qu'il considérait le recourant totalement incapable de travailler sans faire état de nouvelles atteintes diagnostiquées dans l'intervalle. S'agissant en particulier du niveau de scolarisation et des ressources intellectuelles du recourant qui empêcheraient sa réinsertion sur le marché du travail selon le Dr O___________, ce sont là des facteurs étrangers à l'invalidité qui n'ont pas à être pris en compte. L'assurance-invalidité a en effet pour vocation de couvrir la perte de la capacité de gain et non pas la seule perte de gain. Il n'y a pas lieu, dans ce contexte,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 d'œuvre (ATFA non publié I 175/04 du 28 janvier 2005, consid. 3). Enfin, en ce qui concerne le rapport du Dr E_________, il convient de relever que ce médecin ne s'écarte pas clairement des conclusions du Dr C__________. Le médecin traitant souligne d'ailleurs le caractère minutieux de l'examen clinique de l'expert du SMR et se rallie aux limitations fonctionnelles retenues par ce dernier. S'il affirme que la lésion méniscale n'a pas été mentionnée, il relativise toutefois la portée de cette atteinte en indiquant qu'elle pourrait aggraver l'invalidité à moyen et long termes. On peut donc en déduire que cette lésion n'a pas dans l'immédiat d'incidence plus importante sur la capacité de travail du recourant que celle qui a été admise par les médecins du SMR. De plus, comme le souligne à juste titre le SMR, les problèmes de genou du recourant ont été pris en compte par le Dr V___________ et le Dr C__________ puisque ces derniers ont retenu des limitations fonctionnelles liées à la gonarthrose et aux douleurs. Dans ce contexte, il n'est pas déterminant que le Dr C__________ n'ait pas défini avec précision la nature exacte de la lésion du genou. Le recourant requiert l'audition du Dr E_________. Si la garantie constitutionnelle du droit d'être entendu confère notamment à un justiciable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2ème éd., Zurich 2009, n. 72 ad art. 61 ; ATF 130 II 425 consid. 2.1; ATF 124 V 90 consid. 4b; ATF 122 V 157 consid. 1d). En l'espèce, le Dr E_________ a eu l'occasion de se prononcer de manière circonspecte sur l'expertise par écrit et ne fait état d'aucune nouvelle atteinte qui n'aurait pas été prise en compte par les experts. Son audition s'avère dès lors superflue. Eu égard à ce qui précède, il n'y a pas lieu de s'écarter des conclusions claires des Drs V___________ et C__________, aux termes desquelles le recourant dispose</w:t>
      </w:r>
    </w:p>
    <w:p>
      <w:r>
        <w:t>A/1592/2012 - 17/20 - depuis le 18 juin 2008 d'une capacité de travail de 80 % dans une activité adaptée, compte tenu de la diminution de rendement de 20 %. Il convient encore d'examiner qu'elle était la capacité de travail du recourant avant cette date. Le Dr LM_________ et le Dr C__________ ne se sont pas prononcés sur cette question. Ils ont simplement constaté que le recourant était en arrêt de travail depuis mars 2007. Il ressort toutefois des expertises des Drs M___________ et N___________ en 2007 que le recourant était capable d'exercer une activité adaptée. Ce premier expert a en effet indiqué que le recourant devrait pouvoir exercer une activité plus légère. Il a même préconisé de s'adresser à l'entreprise pour savoir si elle peut fournir un poste adapté à son employé, en attendant l'intervention chirurgicale et la récupération des fonctions articulaires au niveau du genou droit. Le Dr N___________ a aussi conclu à une capacité complète dans une activité adaptée. Partant, une incapacité de travail totale ne peut être admise que pendant les trois mois qui ont suivi l'ostéotomie. La durée de cette aggravation est trop courte pour avoir une incidence sur le droit à une rente (cf. art. 88a al. 2 RAI).</w:t>
      </w:r>
    </w:p>
    <w:p>
      <w:r>
        <w:rPr>
          <w:b/>
        </w:rPr>
        <w:t>E. 8</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w:t>
      </w:r>
    </w:p>
    <w:p>
      <w:r>
        <w:t>A/1592/2012 - 18/20 -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 I 168/05 du 24 avril 2006, consid. 3.3; ATFA non publié B 80/01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non publié 9C_142/2009 du 20 novembre 2009, consid. 4.1; ATF non publié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w:t>
      </w:r>
    </w:p>
    <w:p>
      <w:r>
        <w:rPr>
          <w:b/>
        </w:rPr>
        <w:t>E. 9</w:t>
      </w:r>
    </w:p>
    <w:p>
      <w:r>
        <w:t>Reste à examiner si le calcul du degré d'invalidité de l'intimé en tenant compte d'une capacité de travail de 80 % dans une activité adaptée dès cette date est correct. Le revenu sans invalidité en 2008 n'est pas de 73'762 fr. comme l'indique l'intimé dans son rapport du 15 octobre 2010, mais de 64'350 fr. en tant que maçon, soit</w:t>
      </w:r>
    </w:p>
    <w:p>
      <w:r>
        <w:rPr>
          <w:b/>
        </w:rPr>
        <w:t>E. 13</w:t>
      </w:r>
    </w:p>
    <w:p>
      <w:r>
        <w:t>mensualités à 4'950 fr. selon le rapport de X___________ SA du 5 juin 2008 et</w:t>
      </w:r>
    </w:p>
    <w:p>
      <w:r>
        <w:t>A/1592/2012 - 19/20 - de 9'580 fr. 80 en tant que nettoyeur, soit 10 heures par semaine à 19 fr. 96, indemnités incluses, pendant 48 semaines, ce qui correspond à un total de 73'930 fr. 80. Quant au revenu avec invalidité, le recours au revenu statistique tiré d’une activité simple et répétitive selon l’ESS 2008, soit 4'806 fr. pour 40 heures hebdomadaires, est conforme à la jurisprudence. Calculé sur la durée hebdomadaire moyenne de travail de 41.6 heures en 2008 selon la Statistique sur la durée normale du travail dans les entreprises (DNT) établie par l’OFFICE FEDERAL DE LA STATISTIQUE - et non 41.7 heures comme le retient l'intimé - on obtient un revenu de 59'978 fr. 90 à 100 % et de 47'983 fr. 10 en tenant compte d'une diminution de rendement de 20 %. Après réduction statistique de 15 %, le revenu avec invalidité est ainsi de 40'785 fr. 65. La comparaison des revenus aboutit ainsi à un degré d'invalidité de 44.8 %, qui donne droit à un quart de rente. S’agissant de l’abattement statistique de 15 % sur le revenu d'invalide, il sied de rappeler que conformément à l'art. 61 al. 1 let. a de la loi sur la procédure administrative (LPA; RSG E 5 10), seul l'abus ou l'excès du pouvoir d'appréciation peut être revu par la Cour de céans. Le juge des assurances sociales ne peut, sans motif pertinent, substituer son appréciation à celle de l'administration (ATF 126 V 75 consid. 6). A titre d'exemple, le Tribunal fédéral a considéré qu'une réduction de 15 % était adéquate dans le cas d'un assuré ne pouvant plus travailler qu'à 60 % dans des activités légères (ATF I 147/05 du 25 juillet 2005, consid. 2.7). Partant, un abattement de 15 % paraît correct en l’espèce, d’autant plus que la diminution de rendement imputable aux limitations fonctionnelles reconnue par les experts fait déjà l’objet d’une réduction de 20 % du revenu. Par surabondance, il sied de relever qu'un abattement de 20 % porterait le revenu d'invalide serait de 38'386 fr. 50 et le degré d'invalidité à 48 %, ce qui reste insuffisant pour modifier le droit à la rente. 10. Eu égard à ce qui précède, le recours sera rejeté. 11. La procédure en matière d'assurance-invalidité n'étant pas gratuite (art. 69 al. 1bis LAI), l’émolument de 200 fr. sera mis à la charge du recourant.</w:t>
      </w:r>
    </w:p>
    <w:p>
      <w:r>
        <w:t>A/1592/2012 - 20/20 -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